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C9" w:rsidRPr="00AA2413" w:rsidRDefault="00254EBC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AA2413">
        <w:rPr>
          <w:rFonts w:ascii="Garamond" w:hAnsi="Garamond"/>
          <w:b/>
          <w:sz w:val="24"/>
          <w:szCs w:val="24"/>
        </w:rPr>
        <w:t>A/4</w:t>
      </w:r>
      <w:r w:rsidR="002D6AC9" w:rsidRPr="00AA2413">
        <w:rPr>
          <w:rFonts w:ascii="Garamond" w:hAnsi="Garamond"/>
          <w:b/>
          <w:sz w:val="24"/>
          <w:szCs w:val="24"/>
        </w:rPr>
        <w:t xml:space="preserve"> </w:t>
      </w:r>
    </w:p>
    <w:p w:rsidR="002D6AC9" w:rsidRPr="00AA2413" w:rsidRDefault="002D6AC9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AA2413">
        <w:rPr>
          <w:rFonts w:ascii="Garamond" w:hAnsi="Garamond"/>
          <w:b/>
          <w:sz w:val="24"/>
          <w:szCs w:val="24"/>
        </w:rPr>
        <w:t xml:space="preserve">Tabella dei titoli valutabili per le graduatorie provinciali di II fascia per le supplenze del personale docente nella scuola secondaria di </w:t>
      </w:r>
      <w:r w:rsidR="00D10A22" w:rsidRPr="00AA2413">
        <w:rPr>
          <w:rFonts w:ascii="Garamond" w:hAnsi="Garamond"/>
          <w:b/>
          <w:sz w:val="24"/>
          <w:szCs w:val="24"/>
        </w:rPr>
        <w:t>primo e secondo</w:t>
      </w:r>
      <w:r w:rsidRPr="00AA2413">
        <w:rPr>
          <w:rFonts w:ascii="Garamond" w:hAnsi="Garamond"/>
          <w:b/>
          <w:sz w:val="24"/>
          <w:szCs w:val="24"/>
        </w:rPr>
        <w:t xml:space="preserve"> grado</w:t>
      </w:r>
    </w:p>
    <w:p w:rsidR="00DF36AA" w:rsidRPr="00AA2413" w:rsidRDefault="00DF36AA" w:rsidP="00DF36AA">
      <w:pPr>
        <w:rPr>
          <w:rFonts w:ascii="Garamond" w:hAnsi="Garamond"/>
          <w:sz w:val="24"/>
          <w:szCs w:val="24"/>
        </w:rPr>
      </w:pPr>
    </w:p>
    <w:tbl>
      <w:tblPr>
        <w:tblW w:w="87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/>
      </w:tblPr>
      <w:tblGrid>
        <w:gridCol w:w="983"/>
        <w:gridCol w:w="5964"/>
        <w:gridCol w:w="1753"/>
      </w:tblGrid>
      <w:tr w:rsidR="00B243B6" w:rsidRPr="00AA2413" w:rsidTr="00B243B6">
        <w:trPr>
          <w:trHeight w:val="300"/>
        </w:trPr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3B2C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Titoli di accesso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5B1B2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58276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5964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027DA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 xml:space="preserve">Punteggio per il titolo di accesso alla graduatoria </w:t>
            </w:r>
          </w:p>
        </w:tc>
        <w:tc>
          <w:tcPr>
            <w:tcW w:w="175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5964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Titolo di studio che costituisce titolo di accesso alla specifica classe di concorso secondo la normativa vigente o titolo di studio conseguito all’estero riconosciuto equipollente sulla base della normativa vigente </w:t>
            </w:r>
          </w:p>
        </w:tc>
        <w:tc>
          <w:tcPr>
            <w:tcW w:w="175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B243B6" w:rsidRPr="00AA2413" w:rsidRDefault="00B243B6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B243B6" w:rsidRPr="00AA2413" w:rsidRDefault="00B243B6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Più 0,50 punti per ogni voto pari o superiore a 77/110</w:t>
            </w:r>
          </w:p>
          <w:p w:rsidR="00B243B6" w:rsidRPr="00AA2413" w:rsidRDefault="00B243B6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Più ulteriori 4 punti se il titolo di studio è stato conseguito con la lode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5F53F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I titoli di studio il cui voto non è espresso su base 110 sono rapportati a 110. Le eventuali frazioni di voto sono arrotondate per eccesso al voto superiore solo se pari o superiori a 0,50. </w:t>
            </w:r>
          </w:p>
          <w:p w:rsidR="00B243B6" w:rsidRPr="00AA2413" w:rsidRDefault="00B243B6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243B6" w:rsidRPr="00AA2413" w:rsidRDefault="00B243B6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Qualora </w:t>
            </w:r>
          </w:p>
          <w:p w:rsidR="00B243B6" w:rsidRPr="00AA2413" w:rsidRDefault="00B243B6" w:rsidP="005F53F4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nel titolo non sia indicato il punteggio ovvero il giudizio finale non sia quantificabile in termini numerici;</w:t>
            </w:r>
          </w:p>
          <w:p w:rsidR="00B243B6" w:rsidRPr="00AA2413" w:rsidRDefault="00B243B6" w:rsidP="00881E86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il titolo di accesso sia costituito dal possesso di una qualifica o titoli professionali, purché congiunto a un titolo di studio;</w:t>
            </w:r>
          </w:p>
          <w:p w:rsidR="00B243B6" w:rsidRPr="00AA2413" w:rsidRDefault="00B243B6" w:rsidP="00E443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sono attribuiti solo</w:t>
            </w:r>
          </w:p>
        </w:tc>
        <w:tc>
          <w:tcPr>
            <w:tcW w:w="175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8A54AA" w:rsidRDefault="008A54AA" w:rsidP="00E4439E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8A54AA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CA1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Punteggio per i titoli accademici e scientifici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D787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o diploma accademico di II livello che non costituisce il titolo di accesso di cui al punto A.1,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423F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Diploma ISEF, Laurea triennale o diploma accademico di I livello, qualora non costituisca titolo di accesso al titolo di cui al punto B.1,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lastRenderedPageBreak/>
              <w:t>B.3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A373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D787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Abilitazione per altra classe di concorso nella scuola secondaria di primo o secondo grado,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D787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Titolo di specializzazione sul </w:t>
            </w:r>
            <w:r w:rsidRPr="00F87B28">
              <w:rPr>
                <w:rFonts w:ascii="Garamond" w:hAnsi="Garamond"/>
                <w:sz w:val="24"/>
                <w:szCs w:val="24"/>
              </w:rPr>
              <w:t>sostegno</w:t>
            </w:r>
            <w:r w:rsidR="003F0C87" w:rsidRPr="00F87B28">
              <w:rPr>
                <w:rFonts w:ascii="Garamond" w:hAnsi="Garamond"/>
                <w:sz w:val="24"/>
                <w:szCs w:val="24"/>
              </w:rPr>
              <w:t xml:space="preserve"> agli alunni con disabilità</w:t>
            </w:r>
            <w:r w:rsidRPr="00F87B28"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B.6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A71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Superamento delle prove di un concorso ordinario per titoli ed esami per la scuola secondaria di primo e secondo grado qualora non valutato ai sensi del punto B.4,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Dottorato di ricerca; 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Abilitazione scientifica nazionale a professore di I o II fascia di cui all’articolo 16 della legge 30 dicembre 2010, n. 240,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0C094A" w:rsidP="006423F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ciascuna graduatoria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15B1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D27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Diploma di specializzazione universitario di durata pluriennale, non altrimenti valutato (si valuta al massimo un titolo)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B4A7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di abilitazione all’insegnamento in CLIL in un paese UE,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 xml:space="preserve">6 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5C785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al personale scolastico 6 aprile 2012, n. 6, o per la positiva frequenza di Corsi di perfezionamento sulla metodologia CLIL della durata pari a </w:t>
            </w:r>
            <w:r w:rsidRPr="00AA2413">
              <w:rPr>
                <w:rFonts w:ascii="Garamond" w:hAnsi="Garamond"/>
                <w:sz w:val="24"/>
                <w:szCs w:val="24"/>
              </w:rPr>
              <w:lastRenderedPageBreak/>
              <w:t>60 CFU, purché congiunti alla certificazione nella relativa lingua straniera di cui al punto B.14,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lastRenderedPageBreak/>
              <w:t>3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lastRenderedPageBreak/>
              <w:t>B.14</w:t>
            </w:r>
          </w:p>
        </w:tc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AB006B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AB006B">
              <w:rPr>
                <w:rFonts w:ascii="Garamond" w:hAnsi="Garamond"/>
                <w:sz w:val="24"/>
                <w:szCs w:val="24"/>
              </w:rPr>
              <w:t>B2</w:t>
            </w:r>
            <w:r w:rsidRPr="00AA2413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esclusivamente presso gli Enti ricompresi nell’elenco degli Enti certificatori riconosciuti dal 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 ai sensi del predetto decreto, per ciascun titolo (è valutato un solo titolo per ciascuna lingua straniera)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B243B6" w:rsidRPr="00AA2413" w:rsidRDefault="00B243B6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B243B6" w:rsidRPr="00AA2413" w:rsidRDefault="00B243B6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B243B6" w:rsidRPr="00AA2413" w:rsidRDefault="00B243B6" w:rsidP="005B1B29">
            <w:pPr>
              <w:rPr>
                <w:rFonts w:ascii="Garamond" w:hAnsi="Garamond"/>
                <w:sz w:val="24"/>
                <w:szCs w:val="24"/>
              </w:rPr>
            </w:pPr>
          </w:p>
          <w:p w:rsidR="00B243B6" w:rsidRPr="00AA2413" w:rsidRDefault="00B243B6" w:rsidP="005B1B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B243B6" w:rsidRPr="00AA2413" w:rsidRDefault="00B243B6" w:rsidP="005B1B29">
            <w:pPr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B243B6" w:rsidRPr="00AA2413" w:rsidRDefault="00B243B6" w:rsidP="0096362D">
            <w:pPr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B.15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e con esame finale, per un massimo di tre titoli, conseguiti in tre differenti anni accademici,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F87B28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F87B28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58470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Punteggio per i titoli specificamente valutabili per le graduatorie relative alle classi di concorso A-55, A-56, A-59 e A-63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B.18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Diploma di perfezionamento conseguito presso l’Accademia Nazionale di Santa Cecilia (</w:t>
            </w:r>
            <w:r w:rsidRPr="00AA2413">
              <w:rPr>
                <w:rFonts w:ascii="Garamond" w:hAnsi="Garamond"/>
                <w:b/>
                <w:sz w:val="24"/>
                <w:szCs w:val="24"/>
              </w:rPr>
              <w:t>per ciascun titolo</w:t>
            </w:r>
            <w:r w:rsidRPr="00AA2413">
              <w:rPr>
                <w:rFonts w:ascii="Garamond" w:hAnsi="Garamond"/>
                <w:sz w:val="24"/>
                <w:szCs w:val="24"/>
              </w:rPr>
              <w:t xml:space="preserve">) </w:t>
            </w:r>
          </w:p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a) relativo allo strumento cui si riferisce la graduatoria o relativo alla musica da camera</w:t>
            </w:r>
          </w:p>
          <w:p w:rsidR="00B243B6" w:rsidRPr="00AA2413" w:rsidRDefault="00B243B6" w:rsidP="00934DE3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b) relativo ad altro strumento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B243B6" w:rsidRPr="00AA2413" w:rsidRDefault="00B243B6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B243B6" w:rsidRPr="00AA2413" w:rsidRDefault="00B243B6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B243B6" w:rsidRPr="00AA2413" w:rsidRDefault="00B243B6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B243B6" w:rsidRPr="00AA2413" w:rsidRDefault="00934DE3" w:rsidP="003079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  <w:p w:rsidR="00B243B6" w:rsidRPr="00AA2413" w:rsidRDefault="00934DE3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B.19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Premi in concorsi nazionali od internazionali relativi allo specifico strumento, per ciascun premio</w:t>
            </w:r>
            <w:r w:rsidRPr="00AA2413">
              <w:rPr>
                <w:rFonts w:ascii="Garamond" w:hAnsi="Garamond"/>
                <w:sz w:val="24"/>
                <w:szCs w:val="24"/>
                <w:u w:color="000000"/>
              </w:rPr>
              <w:t xml:space="preserve"> e fino a un massimo di punti </w:t>
            </w:r>
            <w:r w:rsidR="00934DE3">
              <w:rPr>
                <w:rFonts w:ascii="Garamond" w:hAnsi="Garamond"/>
                <w:sz w:val="24"/>
                <w:szCs w:val="24"/>
                <w:u w:color="000000"/>
              </w:rPr>
              <w:t>6</w:t>
            </w:r>
          </w:p>
          <w:p w:rsidR="00B243B6" w:rsidRPr="00AA2413" w:rsidRDefault="00B243B6" w:rsidP="003079C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primo premio</w:t>
            </w:r>
          </w:p>
          <w:p w:rsidR="00B243B6" w:rsidRPr="00AA2413" w:rsidRDefault="00B243B6" w:rsidP="00584707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secondo premio</w:t>
            </w:r>
          </w:p>
          <w:p w:rsidR="00B243B6" w:rsidRPr="00AA2413" w:rsidRDefault="00B243B6" w:rsidP="00584707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terzo premio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934DE3" w:rsidP="003079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3</w:t>
            </w:r>
          </w:p>
          <w:p w:rsidR="00B243B6" w:rsidRPr="00AA2413" w:rsidRDefault="00934DE3" w:rsidP="003079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2</w:t>
            </w:r>
          </w:p>
          <w:p w:rsidR="00B243B6" w:rsidRPr="00AA2413" w:rsidRDefault="00934DE3" w:rsidP="003079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  <w:p w:rsidR="00B243B6" w:rsidRPr="00AA2413" w:rsidRDefault="00B243B6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B.20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584707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Idoneità in concorsi per orchestre sinfoniche di Fondazioni </w:t>
            </w:r>
            <w:r w:rsidRPr="00AA2413">
              <w:rPr>
                <w:rFonts w:ascii="Garamond" w:hAnsi="Garamond"/>
                <w:sz w:val="24"/>
                <w:szCs w:val="24"/>
              </w:rPr>
              <w:lastRenderedPageBreak/>
              <w:t xml:space="preserve">Lirico Sinfoniche o Orchestre riconosciute ai sensi dell'articolo 28 della legge 14 agosto 1967 n. 800 e successivi provvedimenti, per ciascun titolo e sino a un massimo complessivo di punti </w:t>
            </w:r>
            <w:r w:rsidR="00934DE3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934DE3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2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58470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Punteggio per i titoli specificamente valutabili per le procedure concorsuali relative alla classe di concorso</w:t>
            </w:r>
          </w:p>
          <w:p w:rsidR="00B243B6" w:rsidRPr="00AA2413" w:rsidRDefault="00B243B6" w:rsidP="0058470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A57 - Tecnica della danza classica</w:t>
            </w:r>
          </w:p>
          <w:p w:rsidR="00B243B6" w:rsidRPr="00AA2413" w:rsidRDefault="00B243B6" w:rsidP="0058470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A 58 - Tecnica della danza contemporanea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B.21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Premi in qualità di interprete in concorsi nazionali od internazionali relativi alla specifica classe di concorso - danza classica o danza contemporanea, per ciascun premi</w:t>
            </w:r>
            <w:r w:rsidR="00934DE3">
              <w:rPr>
                <w:rFonts w:ascii="Garamond" w:hAnsi="Garamond"/>
                <w:sz w:val="24"/>
                <w:szCs w:val="24"/>
              </w:rPr>
              <w:t>o e fino a un massimo di punti 6</w:t>
            </w:r>
            <w:r w:rsidRPr="00AA2413">
              <w:rPr>
                <w:rFonts w:ascii="Garamond" w:hAnsi="Garamond"/>
                <w:sz w:val="24"/>
                <w:szCs w:val="24"/>
              </w:rPr>
              <w:t>:</w:t>
            </w:r>
          </w:p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a)</w:t>
            </w:r>
            <w:r w:rsidRPr="00AA2413">
              <w:rPr>
                <w:rFonts w:ascii="Garamond" w:hAnsi="Garamond"/>
                <w:sz w:val="24"/>
                <w:szCs w:val="24"/>
              </w:rPr>
              <w:tab/>
              <w:t>primo premio</w:t>
            </w:r>
          </w:p>
          <w:p w:rsidR="00B243B6" w:rsidRPr="00AA2413" w:rsidRDefault="00B243B6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b)</w:t>
            </w:r>
            <w:r w:rsidRPr="00AA2413">
              <w:rPr>
                <w:rFonts w:ascii="Garamond" w:hAnsi="Garamond"/>
                <w:sz w:val="24"/>
                <w:szCs w:val="24"/>
              </w:rPr>
              <w:tab/>
              <w:t>secondo premio</w:t>
            </w:r>
          </w:p>
          <w:p w:rsidR="00B243B6" w:rsidRPr="00AA2413" w:rsidRDefault="00B243B6" w:rsidP="0058470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c)</w:t>
            </w:r>
            <w:r w:rsidRPr="00AA2413">
              <w:rPr>
                <w:rFonts w:ascii="Garamond" w:hAnsi="Garamond"/>
                <w:sz w:val="24"/>
                <w:szCs w:val="24"/>
              </w:rPr>
              <w:tab/>
              <w:t>terzo premio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934DE3" w:rsidP="003079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  <w:p w:rsidR="00B243B6" w:rsidRPr="00AA2413" w:rsidRDefault="00934DE3" w:rsidP="003079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  <w:p w:rsidR="00B243B6" w:rsidRPr="00AA2413" w:rsidRDefault="00934DE3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934DE3" w:rsidRPr="00185DAB" w:rsidTr="00183437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4DE3" w:rsidRPr="00185DAB" w:rsidRDefault="00934DE3" w:rsidP="0018343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B.22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4DE3" w:rsidRPr="008D4A3F" w:rsidRDefault="00934DE3" w:rsidP="00183437">
            <w:pPr>
              <w:pStyle w:val="Default"/>
            </w:pPr>
            <w:r w:rsidRPr="008D4A3F">
              <w:t>Attività artistica, in qualità di danzatore, nei corpi di ballo degli Enti Lirico Sinfonici oppure in enti stranieri omologhi, sino ad massimo 30 punti</w:t>
            </w:r>
          </w:p>
          <w:p w:rsidR="00934DE3" w:rsidRPr="008D4A3F" w:rsidRDefault="00934DE3" w:rsidP="00183437">
            <w:pPr>
              <w:pStyle w:val="Default"/>
            </w:pPr>
          </w:p>
          <w:p w:rsidR="00934DE3" w:rsidRPr="008D4A3F" w:rsidRDefault="00934DE3" w:rsidP="0018343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8D4A3F">
              <w:rPr>
                <w:rFonts w:ascii="Garamond" w:hAnsi="Garamond"/>
                <w:sz w:val="24"/>
                <w:szCs w:val="24"/>
              </w:rPr>
              <w:t>Per ogni anno di attività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4DE3" w:rsidRPr="008D4A3F" w:rsidRDefault="00934DE3" w:rsidP="00183437">
            <w:pPr>
              <w:pStyle w:val="Default"/>
              <w:rPr>
                <w:bCs/>
              </w:rPr>
            </w:pPr>
          </w:p>
          <w:p w:rsidR="00934DE3" w:rsidRPr="008D4A3F" w:rsidRDefault="00934DE3" w:rsidP="00183437">
            <w:pPr>
              <w:pStyle w:val="Default"/>
              <w:rPr>
                <w:bCs/>
              </w:rPr>
            </w:pPr>
          </w:p>
          <w:p w:rsidR="00934DE3" w:rsidRPr="008D4A3F" w:rsidRDefault="00934DE3" w:rsidP="00183437">
            <w:pPr>
              <w:pStyle w:val="Default"/>
              <w:rPr>
                <w:bCs/>
              </w:rPr>
            </w:pPr>
          </w:p>
          <w:p w:rsidR="00934DE3" w:rsidRPr="008D4A3F" w:rsidRDefault="00934DE3" w:rsidP="00183437">
            <w:pPr>
              <w:pStyle w:val="Default"/>
              <w:rPr>
                <w:bCs/>
              </w:rPr>
            </w:pPr>
          </w:p>
          <w:p w:rsidR="00934DE3" w:rsidRPr="008D4A3F" w:rsidRDefault="00934DE3" w:rsidP="00183437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8D4A3F">
              <w:rPr>
                <w:rFonts w:ascii="Garamond" w:hAnsi="Garamond"/>
                <w:b/>
                <w:bCs/>
                <w:sz w:val="24"/>
                <w:szCs w:val="24"/>
              </w:rPr>
              <w:t xml:space="preserve">5 </w:t>
            </w:r>
          </w:p>
        </w:tc>
      </w:tr>
      <w:tr w:rsidR="00934DE3" w:rsidRPr="00185DAB" w:rsidTr="00183437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4DE3" w:rsidRDefault="00934DE3" w:rsidP="0018343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B.23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4DE3" w:rsidRPr="008D4A3F" w:rsidRDefault="00934DE3" w:rsidP="00183437">
            <w:pPr>
              <w:pStyle w:val="Default"/>
            </w:pPr>
            <w:r w:rsidRPr="008D4A3F">
              <w:t>Attività artistica, in qualità di coreografo, nei corpi di ballo degli Enti Lirico Sinfonici oppure in enti stranieri omologhi, sino ad massimo 30 punti</w:t>
            </w:r>
          </w:p>
          <w:p w:rsidR="00934DE3" w:rsidRPr="008D4A3F" w:rsidRDefault="00934DE3" w:rsidP="00183437">
            <w:pPr>
              <w:pStyle w:val="Default"/>
            </w:pPr>
          </w:p>
          <w:p w:rsidR="00934DE3" w:rsidRPr="008D4A3F" w:rsidRDefault="00934DE3" w:rsidP="00183437">
            <w:pPr>
              <w:pStyle w:val="Default"/>
            </w:pPr>
            <w:r w:rsidRPr="008D4A3F">
              <w:t>Per ogni attività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4DE3" w:rsidRPr="006668DB" w:rsidRDefault="00934DE3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934DE3" w:rsidRPr="006668DB" w:rsidRDefault="00934DE3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934DE3" w:rsidRPr="006668DB" w:rsidRDefault="00934DE3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934DE3" w:rsidRPr="006668DB" w:rsidRDefault="00934DE3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934DE3" w:rsidRPr="008D4A3F" w:rsidRDefault="00934DE3" w:rsidP="00183437">
            <w:pPr>
              <w:pStyle w:val="Default"/>
              <w:jc w:val="right"/>
              <w:rPr>
                <w:b/>
                <w:bCs/>
              </w:rPr>
            </w:pPr>
            <w:r w:rsidRPr="008D4A3F">
              <w:rPr>
                <w:b/>
                <w:bCs/>
                <w:sz w:val="22"/>
                <w:szCs w:val="22"/>
              </w:rPr>
              <w:t xml:space="preserve">3 </w:t>
            </w:r>
          </w:p>
        </w:tc>
      </w:tr>
      <w:tr w:rsidR="00B243B6" w:rsidRPr="00AA2413" w:rsidTr="00B243B6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0" w:name="_GoBack"/>
            <w:bookmarkEnd w:id="0"/>
            <w:r w:rsidRPr="00AA2413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0A32A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 xml:space="preserve">Titoli di servizio 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43B6" w:rsidRPr="00AA2413" w:rsidRDefault="00B243B6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43B6" w:rsidRPr="00AA2413" w:rsidTr="00B243B6">
        <w:tc>
          <w:tcPr>
            <w:tcW w:w="98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5964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Servizio di insegnamento prestato sulla specifica classe di concorso o su posti di sostegno agli alunni con disabilità sullo specifico grado</w:t>
            </w:r>
          </w:p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nelle istituzioni statali e paritarie all’estero e nelle scuole militari; </w:t>
            </w:r>
          </w:p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b) nell'ambito dei percorsi in diritto/dovere all’istruzione di cui all'articolo 1, comma 3, del decreto legislativo 15 aprile 2005, n. 76, relativi al sistema di istruzione e formazione professionale, purché, nel caso dei predetti percorsi, il relativo servizio sia stato svolto per la tipologia di posto o gli insegnamenti riconducibili alla specifica classe di concorso; </w:t>
            </w:r>
          </w:p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c) nelle forme di cui al comma 3 dell'articolo 1 del decreto-</w:t>
            </w:r>
            <w:r w:rsidRPr="00AA2413">
              <w:rPr>
                <w:rFonts w:ascii="Garamond" w:hAnsi="Garamond"/>
                <w:sz w:val="24"/>
                <w:szCs w:val="24"/>
              </w:rPr>
              <w:lastRenderedPageBreak/>
              <w:t>legge 25 settembre 2009, n. 134, convertito, con modificazioni, dalla legge 24 novembre 2009, n. 167, nonché di cui al comma 4-bis dell'articolo 5 del decreto-legge 12 settembre 2013, n. 104, convertito, con modificazioni, dalla legge 8 novembre 2013, n. 128;</w:t>
            </w:r>
          </w:p>
          <w:p w:rsidR="00B243B6" w:rsidRPr="00AA2413" w:rsidRDefault="009462C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d)</w:t>
            </w:r>
            <w:r w:rsidR="00B243B6" w:rsidRPr="00AA2413">
              <w:rPr>
                <w:rFonts w:ascii="Garamond" w:hAnsi="Garamond"/>
                <w:sz w:val="24"/>
                <w:szCs w:val="24"/>
              </w:rPr>
              <w:t xml:space="preserve"> nei percorsi di istruzione dei Paesi esteri o di scuole a ordinamento estero in Italia, riconosciute dai rispettivi Paesi, riconducibile alla specificità del posto o della classe di concorso.</w:t>
            </w:r>
          </w:p>
          <w:p w:rsidR="00B243B6" w:rsidRPr="00AA2413" w:rsidRDefault="00B243B6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Sono attribuiti, per ciascun mese o frazione di almeno 16 giorni,</w:t>
            </w:r>
          </w:p>
        </w:tc>
        <w:tc>
          <w:tcPr>
            <w:tcW w:w="175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 2</w:t>
            </w:r>
          </w:p>
        </w:tc>
      </w:tr>
      <w:tr w:rsidR="00B243B6" w:rsidRPr="00AA2413" w:rsidTr="00B243B6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AA2413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AA2413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AA2413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 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B243B6" w:rsidRPr="00AA2413" w:rsidTr="00B243B6">
        <w:tc>
          <w:tcPr>
            <w:tcW w:w="98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5964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2A28" w:rsidRPr="00185DAB" w:rsidRDefault="00472A28" w:rsidP="00472A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Servizio di insegnamento prestato su altra classe di concorso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A7535">
              <w:rPr>
                <w:rFonts w:ascii="Garamond" w:hAnsi="Garamond"/>
                <w:b/>
                <w:color w:val="FF0000"/>
                <w:sz w:val="24"/>
                <w:szCs w:val="24"/>
              </w:rPr>
              <w:t>o su altro grado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A7535">
              <w:rPr>
                <w:rFonts w:ascii="Garamond" w:hAnsi="Garamond"/>
                <w:strike/>
                <w:sz w:val="24"/>
                <w:szCs w:val="24"/>
              </w:rPr>
              <w:t xml:space="preserve"> della secondaria di primo e secondo grado, servizio prestato su posti di sostegno agli alunni con disabilità sul primo grado per classi di concorso del secondo grado e sul secondo grado per classi di concorso del primo grado</w:t>
            </w:r>
          </w:p>
          <w:p w:rsidR="00472A28" w:rsidRPr="00185DAB" w:rsidRDefault="00472A28" w:rsidP="00472A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a) nelle scuole del sistema nazionale di istruzione, nelle istituzioni statali e paritarie all’estero e nelle scuole militari;</w:t>
            </w:r>
          </w:p>
          <w:p w:rsidR="00472A28" w:rsidRPr="00185DAB" w:rsidRDefault="00472A28" w:rsidP="00472A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su altra tipologia di posto o insegnamenti riconducibili ad altra classe di concorso; </w:t>
            </w:r>
          </w:p>
          <w:p w:rsidR="00472A28" w:rsidRPr="00185DAB" w:rsidRDefault="00472A28" w:rsidP="00472A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472A28" w:rsidRDefault="00472A28" w:rsidP="00472A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non riconducibile alla specificità del posto di sostegno o del grado.</w:t>
            </w:r>
          </w:p>
          <w:p w:rsidR="00B243B6" w:rsidRPr="00AA2413" w:rsidRDefault="00B243B6" w:rsidP="00472A2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Sono attribuiti, per ciascun mese o frazione di almeno 16 giorni,</w:t>
            </w:r>
          </w:p>
        </w:tc>
        <w:tc>
          <w:tcPr>
            <w:tcW w:w="175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465EC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</w:tr>
      <w:tr w:rsidR="00B243B6" w:rsidRPr="00AA2413" w:rsidTr="00B243B6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AA2413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243B6" w:rsidRPr="00AA2413" w:rsidTr="00B243B6"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7F1EA1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AA2413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AA2413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 </w:t>
            </w:r>
          </w:p>
        </w:tc>
        <w:tc>
          <w:tcPr>
            <w:tcW w:w="175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AA2413" w:rsidRDefault="00B243B6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AA2413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B243B6" w:rsidRPr="006B458A" w:rsidTr="00B243B6">
        <w:tc>
          <w:tcPr>
            <w:tcW w:w="983" w:type="dxa"/>
            <w:tcBorders>
              <w:top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AA2413" w:rsidRDefault="00B243B6" w:rsidP="004A1DD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 xml:space="preserve">NOTE </w:t>
            </w:r>
          </w:p>
          <w:p w:rsidR="00B243B6" w:rsidRPr="00AA2413" w:rsidRDefault="00B243B6" w:rsidP="004A1DD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al servizio</w:t>
            </w:r>
          </w:p>
        </w:tc>
        <w:tc>
          <w:tcPr>
            <w:tcW w:w="5964" w:type="dxa"/>
            <w:tcBorders>
              <w:top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3B6" w:rsidRPr="006B458A" w:rsidRDefault="00B243B6" w:rsidP="00465EC5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AA2413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AA2413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AA2413">
              <w:rPr>
                <w:rFonts w:ascii="Garamond" w:hAnsi="Garamond"/>
                <w:sz w:val="24"/>
                <w:szCs w:val="24"/>
              </w:rPr>
              <w:t xml:space="preserve"> 2006/07 nelle scuole pluriclassi dei Comuni di montagna, di cui alla legge 1° marzo 1957, n. 90, nonché nelle scuole delle isole minori e degli istituti penitenziari è valutato in misura doppia.</w:t>
            </w:r>
          </w:p>
        </w:tc>
        <w:tc>
          <w:tcPr>
            <w:tcW w:w="1753" w:type="dxa"/>
            <w:tcBorders>
              <w:top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243B6" w:rsidRPr="006B458A" w:rsidRDefault="00B243B6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DA21B4" w:rsidRPr="00277F8B" w:rsidRDefault="00DA21B4" w:rsidP="00A373C9">
      <w:pPr>
        <w:spacing w:line="276" w:lineRule="auto"/>
        <w:ind w:left="4956"/>
        <w:jc w:val="center"/>
        <w:rPr>
          <w:rFonts w:ascii="Times New Roman" w:hAnsi="Times New Roman"/>
          <w:i/>
          <w:sz w:val="24"/>
          <w:szCs w:val="24"/>
        </w:rPr>
      </w:pPr>
    </w:p>
    <w:sectPr w:rsidR="00DA21B4" w:rsidRPr="00277F8B" w:rsidSect="00BE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ABAE9B" w15:done="0"/>
  <w15:commentEx w15:paraId="0FED67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9C1B4" w16cex:dateUtc="2020-06-21T09:23:00Z"/>
  <w16cex:commentExtensible w16cex:durableId="2299DC3B" w16cex:dateUtc="2020-06-21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ABAE9B" w16cid:durableId="2299C1B4"/>
  <w16cid:commentId w16cid:paraId="0FED6727" w16cid:durableId="2299DC3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59" w:rsidRDefault="00AE0059">
      <w:r>
        <w:separator/>
      </w:r>
    </w:p>
  </w:endnote>
  <w:endnote w:type="continuationSeparator" w:id="0">
    <w:p w:rsidR="00AE0059" w:rsidRDefault="00AE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59" w:rsidRDefault="00AE0059">
      <w:r>
        <w:separator/>
      </w:r>
    </w:p>
  </w:footnote>
  <w:footnote w:type="continuationSeparator" w:id="0">
    <w:p w:rsidR="00AE0059" w:rsidRDefault="00AE0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A876C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0" o:spid="_x0000_s2051" type="#_x0000_t136" alt="" style="position:absolute;margin-left:0;margin-top:0;width:509.55pt;height:169.85pt;rotation:315;z-index:-25165516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B45" w:rsidRPr="008C735B" w:rsidRDefault="00A876C3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 w:rsidRPr="00A876C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1" o:spid="_x0000_s2050" type="#_x0000_t136" alt="" style="position:absolute;left:0;text-align:left;margin-left:0;margin-top:0;width:509.55pt;height:306.65pt;rotation:315;z-index:-25165312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  <w:r w:rsidR="006C2B45"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B45" w:rsidRPr="00C725BC" w:rsidRDefault="006C2B45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>Dipartimento per il sistema educativo di istruzione e di formazione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:rsidR="006C2B45" w:rsidRPr="00CC78C2" w:rsidRDefault="006C2B45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A876C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49" o:spid="_x0000_s2049" type="#_x0000_t136" alt="" style="position:absolute;margin-left:0;margin-top:0;width:509.55pt;height:169.85pt;rotation:315;z-index:-25165721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0080F"/>
    <w:multiLevelType w:val="hybridMultilevel"/>
    <w:tmpl w:val="A37AF7A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E3CCD"/>
    <w:multiLevelType w:val="hybridMultilevel"/>
    <w:tmpl w:val="2542BA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54171D1"/>
    <w:multiLevelType w:val="hybridMultilevel"/>
    <w:tmpl w:val="AE34AA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5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6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9"/>
  </w:num>
  <w:num w:numId="12">
    <w:abstractNumId w:val="41"/>
  </w:num>
  <w:num w:numId="13">
    <w:abstractNumId w:val="24"/>
  </w:num>
  <w:num w:numId="14">
    <w:abstractNumId w:val="17"/>
  </w:num>
  <w:num w:numId="15">
    <w:abstractNumId w:val="13"/>
  </w:num>
  <w:num w:numId="16">
    <w:abstractNumId w:val="34"/>
  </w:num>
  <w:num w:numId="17">
    <w:abstractNumId w:val="4"/>
  </w:num>
  <w:num w:numId="18">
    <w:abstractNumId w:val="22"/>
  </w:num>
  <w:num w:numId="19">
    <w:abstractNumId w:val="6"/>
  </w:num>
  <w:num w:numId="20">
    <w:abstractNumId w:val="30"/>
  </w:num>
  <w:num w:numId="21">
    <w:abstractNumId w:val="15"/>
  </w:num>
  <w:num w:numId="22">
    <w:abstractNumId w:val="21"/>
  </w:num>
  <w:num w:numId="23">
    <w:abstractNumId w:val="38"/>
  </w:num>
  <w:num w:numId="24">
    <w:abstractNumId w:val="26"/>
  </w:num>
  <w:num w:numId="25">
    <w:abstractNumId w:val="19"/>
  </w:num>
  <w:num w:numId="26">
    <w:abstractNumId w:val="35"/>
  </w:num>
  <w:num w:numId="27">
    <w:abstractNumId w:val="3"/>
  </w:num>
  <w:num w:numId="28">
    <w:abstractNumId w:val="36"/>
  </w:num>
  <w:num w:numId="29">
    <w:abstractNumId w:val="28"/>
  </w:num>
  <w:num w:numId="30">
    <w:abstractNumId w:val="8"/>
  </w:num>
  <w:num w:numId="31">
    <w:abstractNumId w:val="23"/>
  </w:num>
  <w:num w:numId="32">
    <w:abstractNumId w:val="32"/>
  </w:num>
  <w:num w:numId="33">
    <w:abstractNumId w:val="11"/>
  </w:num>
  <w:num w:numId="34">
    <w:abstractNumId w:val="7"/>
  </w:num>
  <w:num w:numId="35">
    <w:abstractNumId w:val="40"/>
  </w:num>
  <w:num w:numId="36">
    <w:abstractNumId w:val="10"/>
  </w:num>
  <w:num w:numId="37">
    <w:abstractNumId w:val="2"/>
  </w:num>
  <w:num w:numId="38">
    <w:abstractNumId w:val="12"/>
  </w:num>
  <w:num w:numId="39">
    <w:abstractNumId w:val="25"/>
  </w:num>
  <w:num w:numId="40">
    <w:abstractNumId w:val="39"/>
  </w:num>
  <w:num w:numId="41">
    <w:abstractNumId w:val="33"/>
  </w:num>
  <w:num w:numId="42">
    <w:abstractNumId w:val="14"/>
  </w:num>
  <w:num w:numId="43">
    <w:abstractNumId w:val="20"/>
  </w:num>
  <w:num w:numId="44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10CA9"/>
    <w:rsid w:val="00010FBB"/>
    <w:rsid w:val="00012B2E"/>
    <w:rsid w:val="00013B9C"/>
    <w:rsid w:val="0001684B"/>
    <w:rsid w:val="00017DD8"/>
    <w:rsid w:val="00022D00"/>
    <w:rsid w:val="00023800"/>
    <w:rsid w:val="000279B7"/>
    <w:rsid w:val="00027DAD"/>
    <w:rsid w:val="000315E9"/>
    <w:rsid w:val="0003171A"/>
    <w:rsid w:val="0003685D"/>
    <w:rsid w:val="00037FB3"/>
    <w:rsid w:val="000407D1"/>
    <w:rsid w:val="00041610"/>
    <w:rsid w:val="000428D3"/>
    <w:rsid w:val="00042CD4"/>
    <w:rsid w:val="00046377"/>
    <w:rsid w:val="000505C7"/>
    <w:rsid w:val="00052ECB"/>
    <w:rsid w:val="0005710A"/>
    <w:rsid w:val="000578A4"/>
    <w:rsid w:val="00060AF8"/>
    <w:rsid w:val="0006371E"/>
    <w:rsid w:val="00063CE0"/>
    <w:rsid w:val="00070CB3"/>
    <w:rsid w:val="0007746A"/>
    <w:rsid w:val="00087850"/>
    <w:rsid w:val="00087989"/>
    <w:rsid w:val="00087B56"/>
    <w:rsid w:val="00092025"/>
    <w:rsid w:val="000926F0"/>
    <w:rsid w:val="00095624"/>
    <w:rsid w:val="000A185C"/>
    <w:rsid w:val="000A2E0D"/>
    <w:rsid w:val="000A32A6"/>
    <w:rsid w:val="000A3D2B"/>
    <w:rsid w:val="000A6145"/>
    <w:rsid w:val="000A79FA"/>
    <w:rsid w:val="000B082E"/>
    <w:rsid w:val="000B20F8"/>
    <w:rsid w:val="000C094A"/>
    <w:rsid w:val="000C2810"/>
    <w:rsid w:val="000C2F7B"/>
    <w:rsid w:val="000C5C10"/>
    <w:rsid w:val="000C6454"/>
    <w:rsid w:val="000C6778"/>
    <w:rsid w:val="000D00FB"/>
    <w:rsid w:val="000D449D"/>
    <w:rsid w:val="000D5096"/>
    <w:rsid w:val="000D65A2"/>
    <w:rsid w:val="000D65DC"/>
    <w:rsid w:val="000D7710"/>
    <w:rsid w:val="000E6277"/>
    <w:rsid w:val="000E65A8"/>
    <w:rsid w:val="000F21AF"/>
    <w:rsid w:val="000F4041"/>
    <w:rsid w:val="000F6CAD"/>
    <w:rsid w:val="00104E0C"/>
    <w:rsid w:val="001077BA"/>
    <w:rsid w:val="001138BE"/>
    <w:rsid w:val="00114866"/>
    <w:rsid w:val="00114F26"/>
    <w:rsid w:val="00115894"/>
    <w:rsid w:val="00115D2D"/>
    <w:rsid w:val="00115D6C"/>
    <w:rsid w:val="001215DB"/>
    <w:rsid w:val="001226E2"/>
    <w:rsid w:val="00125667"/>
    <w:rsid w:val="00125A8E"/>
    <w:rsid w:val="00130252"/>
    <w:rsid w:val="001323AC"/>
    <w:rsid w:val="00132CB9"/>
    <w:rsid w:val="00132FAD"/>
    <w:rsid w:val="0013400A"/>
    <w:rsid w:val="00137222"/>
    <w:rsid w:val="00137657"/>
    <w:rsid w:val="00140AFD"/>
    <w:rsid w:val="00140CB3"/>
    <w:rsid w:val="00145AA1"/>
    <w:rsid w:val="00153CA6"/>
    <w:rsid w:val="001572AB"/>
    <w:rsid w:val="0016035A"/>
    <w:rsid w:val="0016529E"/>
    <w:rsid w:val="00167A1F"/>
    <w:rsid w:val="001711AD"/>
    <w:rsid w:val="00172ADD"/>
    <w:rsid w:val="001736A7"/>
    <w:rsid w:val="00177675"/>
    <w:rsid w:val="0017798D"/>
    <w:rsid w:val="00177C03"/>
    <w:rsid w:val="00185588"/>
    <w:rsid w:val="00186294"/>
    <w:rsid w:val="00191C9A"/>
    <w:rsid w:val="00195E50"/>
    <w:rsid w:val="0019617E"/>
    <w:rsid w:val="00197737"/>
    <w:rsid w:val="001A166D"/>
    <w:rsid w:val="001A3757"/>
    <w:rsid w:val="001A396A"/>
    <w:rsid w:val="001A41C0"/>
    <w:rsid w:val="001A58AF"/>
    <w:rsid w:val="001B11B6"/>
    <w:rsid w:val="001B19BD"/>
    <w:rsid w:val="001B1DE9"/>
    <w:rsid w:val="001B2963"/>
    <w:rsid w:val="001B4D72"/>
    <w:rsid w:val="001B51AA"/>
    <w:rsid w:val="001B572D"/>
    <w:rsid w:val="001C58FF"/>
    <w:rsid w:val="001D2D5B"/>
    <w:rsid w:val="001D40FB"/>
    <w:rsid w:val="001D575E"/>
    <w:rsid w:val="001E4414"/>
    <w:rsid w:val="001F18C2"/>
    <w:rsid w:val="001F2ACA"/>
    <w:rsid w:val="001F5202"/>
    <w:rsid w:val="001F66EA"/>
    <w:rsid w:val="001F7A93"/>
    <w:rsid w:val="001F7F63"/>
    <w:rsid w:val="00200763"/>
    <w:rsid w:val="00202EA7"/>
    <w:rsid w:val="00205AC1"/>
    <w:rsid w:val="00221F05"/>
    <w:rsid w:val="00223823"/>
    <w:rsid w:val="0022564C"/>
    <w:rsid w:val="00227339"/>
    <w:rsid w:val="0023002A"/>
    <w:rsid w:val="00230B4D"/>
    <w:rsid w:val="0023195E"/>
    <w:rsid w:val="00231B58"/>
    <w:rsid w:val="00234ED9"/>
    <w:rsid w:val="00243037"/>
    <w:rsid w:val="0024478C"/>
    <w:rsid w:val="00245D75"/>
    <w:rsid w:val="00251231"/>
    <w:rsid w:val="00254EBC"/>
    <w:rsid w:val="00257175"/>
    <w:rsid w:val="00257458"/>
    <w:rsid w:val="00257D59"/>
    <w:rsid w:val="00261382"/>
    <w:rsid w:val="00267C92"/>
    <w:rsid w:val="0027001C"/>
    <w:rsid w:val="00272C08"/>
    <w:rsid w:val="00276688"/>
    <w:rsid w:val="00277F8B"/>
    <w:rsid w:val="00282DAC"/>
    <w:rsid w:val="00284481"/>
    <w:rsid w:val="002951C2"/>
    <w:rsid w:val="0029603E"/>
    <w:rsid w:val="00296BE9"/>
    <w:rsid w:val="002973DF"/>
    <w:rsid w:val="002A32D7"/>
    <w:rsid w:val="002A347C"/>
    <w:rsid w:val="002A5838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B7E51"/>
    <w:rsid w:val="002C0057"/>
    <w:rsid w:val="002D364B"/>
    <w:rsid w:val="002D4EB4"/>
    <w:rsid w:val="002D6AC9"/>
    <w:rsid w:val="002E2B24"/>
    <w:rsid w:val="002E5018"/>
    <w:rsid w:val="002E64C8"/>
    <w:rsid w:val="002E7181"/>
    <w:rsid w:val="002F066F"/>
    <w:rsid w:val="00302E82"/>
    <w:rsid w:val="00303B06"/>
    <w:rsid w:val="00303F38"/>
    <w:rsid w:val="00304CAF"/>
    <w:rsid w:val="00316635"/>
    <w:rsid w:val="00316B67"/>
    <w:rsid w:val="00320BCB"/>
    <w:rsid w:val="00323811"/>
    <w:rsid w:val="00323B7D"/>
    <w:rsid w:val="00324CB0"/>
    <w:rsid w:val="003278FE"/>
    <w:rsid w:val="00332014"/>
    <w:rsid w:val="00340F9C"/>
    <w:rsid w:val="003479B7"/>
    <w:rsid w:val="00350C9F"/>
    <w:rsid w:val="00350E04"/>
    <w:rsid w:val="00361EA3"/>
    <w:rsid w:val="00361F97"/>
    <w:rsid w:val="00364A1E"/>
    <w:rsid w:val="00367F6C"/>
    <w:rsid w:val="00373625"/>
    <w:rsid w:val="00373C4A"/>
    <w:rsid w:val="00377C75"/>
    <w:rsid w:val="00380D9D"/>
    <w:rsid w:val="0038140F"/>
    <w:rsid w:val="0038560F"/>
    <w:rsid w:val="00390E83"/>
    <w:rsid w:val="003962B1"/>
    <w:rsid w:val="00397BB1"/>
    <w:rsid w:val="003A077A"/>
    <w:rsid w:val="003A0EF8"/>
    <w:rsid w:val="003A2905"/>
    <w:rsid w:val="003A363D"/>
    <w:rsid w:val="003A623A"/>
    <w:rsid w:val="003A6896"/>
    <w:rsid w:val="003A716D"/>
    <w:rsid w:val="003A7FA3"/>
    <w:rsid w:val="003B2CC9"/>
    <w:rsid w:val="003B5696"/>
    <w:rsid w:val="003B5EE2"/>
    <w:rsid w:val="003C16D3"/>
    <w:rsid w:val="003C29E4"/>
    <w:rsid w:val="003C372E"/>
    <w:rsid w:val="003C38FB"/>
    <w:rsid w:val="003C462F"/>
    <w:rsid w:val="003C47FF"/>
    <w:rsid w:val="003C4E65"/>
    <w:rsid w:val="003C5279"/>
    <w:rsid w:val="003C5A09"/>
    <w:rsid w:val="003C71CE"/>
    <w:rsid w:val="003C73AE"/>
    <w:rsid w:val="003D6D9D"/>
    <w:rsid w:val="003D73D1"/>
    <w:rsid w:val="003E1AED"/>
    <w:rsid w:val="003E2BF9"/>
    <w:rsid w:val="003E553B"/>
    <w:rsid w:val="003E6AE2"/>
    <w:rsid w:val="003E6DE9"/>
    <w:rsid w:val="003F08A4"/>
    <w:rsid w:val="003F0C87"/>
    <w:rsid w:val="003F12BC"/>
    <w:rsid w:val="003F46B4"/>
    <w:rsid w:val="003F59CA"/>
    <w:rsid w:val="004002C7"/>
    <w:rsid w:val="004013FA"/>
    <w:rsid w:val="00404CEE"/>
    <w:rsid w:val="004057F0"/>
    <w:rsid w:val="00405D3C"/>
    <w:rsid w:val="00407DBA"/>
    <w:rsid w:val="00411AA0"/>
    <w:rsid w:val="00411ECC"/>
    <w:rsid w:val="0041398A"/>
    <w:rsid w:val="00417DC4"/>
    <w:rsid w:val="004230C7"/>
    <w:rsid w:val="00426C20"/>
    <w:rsid w:val="00430B8D"/>
    <w:rsid w:val="0043454B"/>
    <w:rsid w:val="004400EE"/>
    <w:rsid w:val="004460CE"/>
    <w:rsid w:val="004531DE"/>
    <w:rsid w:val="00454292"/>
    <w:rsid w:val="004576AB"/>
    <w:rsid w:val="00463F94"/>
    <w:rsid w:val="00465EC5"/>
    <w:rsid w:val="0047181F"/>
    <w:rsid w:val="00472A28"/>
    <w:rsid w:val="004760F5"/>
    <w:rsid w:val="0047619F"/>
    <w:rsid w:val="00487CA2"/>
    <w:rsid w:val="00490DE5"/>
    <w:rsid w:val="0049463F"/>
    <w:rsid w:val="00494DEC"/>
    <w:rsid w:val="00495D5D"/>
    <w:rsid w:val="004A16F1"/>
    <w:rsid w:val="004A1885"/>
    <w:rsid w:val="004A1DD8"/>
    <w:rsid w:val="004A2C17"/>
    <w:rsid w:val="004A3473"/>
    <w:rsid w:val="004A4E2F"/>
    <w:rsid w:val="004B3719"/>
    <w:rsid w:val="004B4A76"/>
    <w:rsid w:val="004B5243"/>
    <w:rsid w:val="004C042F"/>
    <w:rsid w:val="004C16ED"/>
    <w:rsid w:val="004C220A"/>
    <w:rsid w:val="004C3BA3"/>
    <w:rsid w:val="004C6220"/>
    <w:rsid w:val="004D0932"/>
    <w:rsid w:val="004D159A"/>
    <w:rsid w:val="004D1C07"/>
    <w:rsid w:val="004D42D5"/>
    <w:rsid w:val="004D7131"/>
    <w:rsid w:val="004D787E"/>
    <w:rsid w:val="004E00AF"/>
    <w:rsid w:val="004E051C"/>
    <w:rsid w:val="004E397C"/>
    <w:rsid w:val="004E42EF"/>
    <w:rsid w:val="004E484A"/>
    <w:rsid w:val="004F1313"/>
    <w:rsid w:val="004F18AB"/>
    <w:rsid w:val="004F1CAD"/>
    <w:rsid w:val="004F1F1C"/>
    <w:rsid w:val="004F4834"/>
    <w:rsid w:val="004F543D"/>
    <w:rsid w:val="00500108"/>
    <w:rsid w:val="00500F58"/>
    <w:rsid w:val="005028B6"/>
    <w:rsid w:val="00503B9A"/>
    <w:rsid w:val="00505C96"/>
    <w:rsid w:val="00510F64"/>
    <w:rsid w:val="00511B0A"/>
    <w:rsid w:val="00511EFD"/>
    <w:rsid w:val="00512024"/>
    <w:rsid w:val="00520F14"/>
    <w:rsid w:val="0052187B"/>
    <w:rsid w:val="00525B03"/>
    <w:rsid w:val="00526254"/>
    <w:rsid w:val="00526B82"/>
    <w:rsid w:val="005278EE"/>
    <w:rsid w:val="00541F2E"/>
    <w:rsid w:val="00546191"/>
    <w:rsid w:val="0054697A"/>
    <w:rsid w:val="00547C2A"/>
    <w:rsid w:val="0055158E"/>
    <w:rsid w:val="00551A7A"/>
    <w:rsid w:val="00556ECD"/>
    <w:rsid w:val="005628EE"/>
    <w:rsid w:val="005629FB"/>
    <w:rsid w:val="0056632C"/>
    <w:rsid w:val="00571462"/>
    <w:rsid w:val="00571D1A"/>
    <w:rsid w:val="005730FB"/>
    <w:rsid w:val="00573ACE"/>
    <w:rsid w:val="00574851"/>
    <w:rsid w:val="005750C8"/>
    <w:rsid w:val="00582769"/>
    <w:rsid w:val="005833E2"/>
    <w:rsid w:val="00584518"/>
    <w:rsid w:val="00584707"/>
    <w:rsid w:val="005912DF"/>
    <w:rsid w:val="005979EE"/>
    <w:rsid w:val="005B1B29"/>
    <w:rsid w:val="005B1D4C"/>
    <w:rsid w:val="005B29CA"/>
    <w:rsid w:val="005B2BC5"/>
    <w:rsid w:val="005B3244"/>
    <w:rsid w:val="005B7081"/>
    <w:rsid w:val="005C6B89"/>
    <w:rsid w:val="005C785A"/>
    <w:rsid w:val="005D1824"/>
    <w:rsid w:val="005D1B80"/>
    <w:rsid w:val="005D79C8"/>
    <w:rsid w:val="005E0605"/>
    <w:rsid w:val="005E0E85"/>
    <w:rsid w:val="005E2F43"/>
    <w:rsid w:val="005E30D4"/>
    <w:rsid w:val="005E421F"/>
    <w:rsid w:val="005E5FF8"/>
    <w:rsid w:val="005F064F"/>
    <w:rsid w:val="005F1E95"/>
    <w:rsid w:val="005F3D0B"/>
    <w:rsid w:val="005F53F4"/>
    <w:rsid w:val="006018B3"/>
    <w:rsid w:val="006023D5"/>
    <w:rsid w:val="00602BD4"/>
    <w:rsid w:val="00602CEB"/>
    <w:rsid w:val="006104D9"/>
    <w:rsid w:val="00611C21"/>
    <w:rsid w:val="006131DB"/>
    <w:rsid w:val="00620411"/>
    <w:rsid w:val="0062477C"/>
    <w:rsid w:val="00631153"/>
    <w:rsid w:val="00641321"/>
    <w:rsid w:val="006423FD"/>
    <w:rsid w:val="00643ECD"/>
    <w:rsid w:val="00655D43"/>
    <w:rsid w:val="00662F50"/>
    <w:rsid w:val="00666AD8"/>
    <w:rsid w:val="00672406"/>
    <w:rsid w:val="00686369"/>
    <w:rsid w:val="0068641A"/>
    <w:rsid w:val="00687752"/>
    <w:rsid w:val="00692276"/>
    <w:rsid w:val="00693060"/>
    <w:rsid w:val="006A5E5D"/>
    <w:rsid w:val="006A7128"/>
    <w:rsid w:val="006B07B0"/>
    <w:rsid w:val="006B458A"/>
    <w:rsid w:val="006B6238"/>
    <w:rsid w:val="006B6F6D"/>
    <w:rsid w:val="006B7519"/>
    <w:rsid w:val="006C030D"/>
    <w:rsid w:val="006C2B45"/>
    <w:rsid w:val="006D27B0"/>
    <w:rsid w:val="006D64B4"/>
    <w:rsid w:val="006D6F1E"/>
    <w:rsid w:val="006D7078"/>
    <w:rsid w:val="006D7E43"/>
    <w:rsid w:val="006E00DE"/>
    <w:rsid w:val="006E3347"/>
    <w:rsid w:val="006E4F0C"/>
    <w:rsid w:val="006E676E"/>
    <w:rsid w:val="006F6CFC"/>
    <w:rsid w:val="007021D6"/>
    <w:rsid w:val="007021EF"/>
    <w:rsid w:val="007038EB"/>
    <w:rsid w:val="00710202"/>
    <w:rsid w:val="00710349"/>
    <w:rsid w:val="0071053E"/>
    <w:rsid w:val="007156B8"/>
    <w:rsid w:val="0071579E"/>
    <w:rsid w:val="00715B1E"/>
    <w:rsid w:val="00721A8A"/>
    <w:rsid w:val="00723582"/>
    <w:rsid w:val="00726C80"/>
    <w:rsid w:val="007270E7"/>
    <w:rsid w:val="0073196D"/>
    <w:rsid w:val="00731F07"/>
    <w:rsid w:val="007335EF"/>
    <w:rsid w:val="0073463F"/>
    <w:rsid w:val="00734F53"/>
    <w:rsid w:val="00736618"/>
    <w:rsid w:val="00741C1F"/>
    <w:rsid w:val="00742768"/>
    <w:rsid w:val="00744212"/>
    <w:rsid w:val="007509E4"/>
    <w:rsid w:val="0075268D"/>
    <w:rsid w:val="00763357"/>
    <w:rsid w:val="007640A1"/>
    <w:rsid w:val="00774225"/>
    <w:rsid w:val="00774D89"/>
    <w:rsid w:val="007801AD"/>
    <w:rsid w:val="00781174"/>
    <w:rsid w:val="00781399"/>
    <w:rsid w:val="00784A05"/>
    <w:rsid w:val="00784D95"/>
    <w:rsid w:val="007850EF"/>
    <w:rsid w:val="00790C2E"/>
    <w:rsid w:val="0079141A"/>
    <w:rsid w:val="00792E75"/>
    <w:rsid w:val="0079403E"/>
    <w:rsid w:val="00794C73"/>
    <w:rsid w:val="007A29E2"/>
    <w:rsid w:val="007B306C"/>
    <w:rsid w:val="007B78CB"/>
    <w:rsid w:val="007C3F84"/>
    <w:rsid w:val="007C462B"/>
    <w:rsid w:val="007C5532"/>
    <w:rsid w:val="007C6C61"/>
    <w:rsid w:val="007D7935"/>
    <w:rsid w:val="007E085B"/>
    <w:rsid w:val="007E3E47"/>
    <w:rsid w:val="007E5AB5"/>
    <w:rsid w:val="007E6AD9"/>
    <w:rsid w:val="007E7454"/>
    <w:rsid w:val="007F192E"/>
    <w:rsid w:val="007F1EA1"/>
    <w:rsid w:val="00805EC7"/>
    <w:rsid w:val="008071A1"/>
    <w:rsid w:val="00810F9F"/>
    <w:rsid w:val="00815DB6"/>
    <w:rsid w:val="0081650F"/>
    <w:rsid w:val="00824930"/>
    <w:rsid w:val="0082561B"/>
    <w:rsid w:val="008272E8"/>
    <w:rsid w:val="008309A7"/>
    <w:rsid w:val="00831C65"/>
    <w:rsid w:val="00832FA5"/>
    <w:rsid w:val="00834500"/>
    <w:rsid w:val="00836A92"/>
    <w:rsid w:val="00837190"/>
    <w:rsid w:val="00841DE7"/>
    <w:rsid w:val="00842FCE"/>
    <w:rsid w:val="008443E3"/>
    <w:rsid w:val="0084645E"/>
    <w:rsid w:val="008466AE"/>
    <w:rsid w:val="008515D9"/>
    <w:rsid w:val="008533D1"/>
    <w:rsid w:val="00854A49"/>
    <w:rsid w:val="008555AB"/>
    <w:rsid w:val="0085650D"/>
    <w:rsid w:val="0085696C"/>
    <w:rsid w:val="00861AD2"/>
    <w:rsid w:val="00864713"/>
    <w:rsid w:val="00870DF9"/>
    <w:rsid w:val="00873131"/>
    <w:rsid w:val="0088060D"/>
    <w:rsid w:val="00881BE0"/>
    <w:rsid w:val="00881E86"/>
    <w:rsid w:val="00887EF2"/>
    <w:rsid w:val="00891018"/>
    <w:rsid w:val="008944B6"/>
    <w:rsid w:val="00895013"/>
    <w:rsid w:val="00895D70"/>
    <w:rsid w:val="008A1B89"/>
    <w:rsid w:val="008A26B0"/>
    <w:rsid w:val="008A3B81"/>
    <w:rsid w:val="008A54AA"/>
    <w:rsid w:val="008A6214"/>
    <w:rsid w:val="008B19B5"/>
    <w:rsid w:val="008B31FC"/>
    <w:rsid w:val="008B3F72"/>
    <w:rsid w:val="008B5E08"/>
    <w:rsid w:val="008C0774"/>
    <w:rsid w:val="008C12B2"/>
    <w:rsid w:val="008C43DB"/>
    <w:rsid w:val="008C5562"/>
    <w:rsid w:val="008C55F1"/>
    <w:rsid w:val="008C675F"/>
    <w:rsid w:val="008C735B"/>
    <w:rsid w:val="008D0E07"/>
    <w:rsid w:val="008D28BD"/>
    <w:rsid w:val="008E0176"/>
    <w:rsid w:val="008E1AAB"/>
    <w:rsid w:val="008E4E2B"/>
    <w:rsid w:val="008E57C4"/>
    <w:rsid w:val="008E7FB8"/>
    <w:rsid w:val="008F02CC"/>
    <w:rsid w:val="008F7308"/>
    <w:rsid w:val="009024A2"/>
    <w:rsid w:val="00902A4C"/>
    <w:rsid w:val="009032D9"/>
    <w:rsid w:val="009258C8"/>
    <w:rsid w:val="0092623D"/>
    <w:rsid w:val="009262B0"/>
    <w:rsid w:val="00934DE3"/>
    <w:rsid w:val="00937449"/>
    <w:rsid w:val="00943AA2"/>
    <w:rsid w:val="00944D49"/>
    <w:rsid w:val="009462C8"/>
    <w:rsid w:val="00947CF4"/>
    <w:rsid w:val="009518DA"/>
    <w:rsid w:val="00952D9D"/>
    <w:rsid w:val="00953C1B"/>
    <w:rsid w:val="009542E7"/>
    <w:rsid w:val="0095683B"/>
    <w:rsid w:val="0096362D"/>
    <w:rsid w:val="009648AE"/>
    <w:rsid w:val="009659EC"/>
    <w:rsid w:val="00967593"/>
    <w:rsid w:val="00975E2E"/>
    <w:rsid w:val="00980EA8"/>
    <w:rsid w:val="0099160B"/>
    <w:rsid w:val="0099268B"/>
    <w:rsid w:val="00992A64"/>
    <w:rsid w:val="00993627"/>
    <w:rsid w:val="009A0EC6"/>
    <w:rsid w:val="009A18DE"/>
    <w:rsid w:val="009A54EE"/>
    <w:rsid w:val="009A58C5"/>
    <w:rsid w:val="009A7DA3"/>
    <w:rsid w:val="009A7FC8"/>
    <w:rsid w:val="009B08F2"/>
    <w:rsid w:val="009B10DD"/>
    <w:rsid w:val="009B2BA1"/>
    <w:rsid w:val="009B54B9"/>
    <w:rsid w:val="009C0E55"/>
    <w:rsid w:val="009C1A54"/>
    <w:rsid w:val="009C370C"/>
    <w:rsid w:val="009D1760"/>
    <w:rsid w:val="009D2EDB"/>
    <w:rsid w:val="009D3A73"/>
    <w:rsid w:val="009D680A"/>
    <w:rsid w:val="009E154C"/>
    <w:rsid w:val="009E6316"/>
    <w:rsid w:val="009E68C8"/>
    <w:rsid w:val="009E788B"/>
    <w:rsid w:val="009E7C1B"/>
    <w:rsid w:val="009F0433"/>
    <w:rsid w:val="009F0B8E"/>
    <w:rsid w:val="009F3473"/>
    <w:rsid w:val="009F45A6"/>
    <w:rsid w:val="00A03155"/>
    <w:rsid w:val="00A041C2"/>
    <w:rsid w:val="00A13F14"/>
    <w:rsid w:val="00A2068F"/>
    <w:rsid w:val="00A2280B"/>
    <w:rsid w:val="00A2431E"/>
    <w:rsid w:val="00A249A5"/>
    <w:rsid w:val="00A26992"/>
    <w:rsid w:val="00A30655"/>
    <w:rsid w:val="00A33C87"/>
    <w:rsid w:val="00A373C9"/>
    <w:rsid w:val="00A44958"/>
    <w:rsid w:val="00A47870"/>
    <w:rsid w:val="00A47EB0"/>
    <w:rsid w:val="00A50324"/>
    <w:rsid w:val="00A50BB6"/>
    <w:rsid w:val="00A577ED"/>
    <w:rsid w:val="00A605BF"/>
    <w:rsid w:val="00A71C3D"/>
    <w:rsid w:val="00A71DFB"/>
    <w:rsid w:val="00A73FCD"/>
    <w:rsid w:val="00A752BC"/>
    <w:rsid w:val="00A77649"/>
    <w:rsid w:val="00A8015F"/>
    <w:rsid w:val="00A80488"/>
    <w:rsid w:val="00A80C90"/>
    <w:rsid w:val="00A821DC"/>
    <w:rsid w:val="00A82528"/>
    <w:rsid w:val="00A8525E"/>
    <w:rsid w:val="00A8720D"/>
    <w:rsid w:val="00A876C3"/>
    <w:rsid w:val="00A908FD"/>
    <w:rsid w:val="00A927B5"/>
    <w:rsid w:val="00A93DF1"/>
    <w:rsid w:val="00A973E1"/>
    <w:rsid w:val="00AA2413"/>
    <w:rsid w:val="00AA7204"/>
    <w:rsid w:val="00AB006B"/>
    <w:rsid w:val="00AB0635"/>
    <w:rsid w:val="00AB1B3A"/>
    <w:rsid w:val="00AB1B45"/>
    <w:rsid w:val="00AB48F1"/>
    <w:rsid w:val="00AB7744"/>
    <w:rsid w:val="00AC0202"/>
    <w:rsid w:val="00AC2803"/>
    <w:rsid w:val="00AC383B"/>
    <w:rsid w:val="00AC64F0"/>
    <w:rsid w:val="00AD11DF"/>
    <w:rsid w:val="00AD3CB1"/>
    <w:rsid w:val="00AD40DA"/>
    <w:rsid w:val="00AD479F"/>
    <w:rsid w:val="00AE0059"/>
    <w:rsid w:val="00AE3780"/>
    <w:rsid w:val="00AE6C98"/>
    <w:rsid w:val="00AF0C50"/>
    <w:rsid w:val="00AF3019"/>
    <w:rsid w:val="00AF44B2"/>
    <w:rsid w:val="00B029BB"/>
    <w:rsid w:val="00B04C37"/>
    <w:rsid w:val="00B157F3"/>
    <w:rsid w:val="00B17C7D"/>
    <w:rsid w:val="00B22AD3"/>
    <w:rsid w:val="00B243B6"/>
    <w:rsid w:val="00B26A9B"/>
    <w:rsid w:val="00B27BF9"/>
    <w:rsid w:val="00B460B4"/>
    <w:rsid w:val="00B52CF0"/>
    <w:rsid w:val="00B54F58"/>
    <w:rsid w:val="00B6107E"/>
    <w:rsid w:val="00B613CD"/>
    <w:rsid w:val="00B64635"/>
    <w:rsid w:val="00B66813"/>
    <w:rsid w:val="00B72387"/>
    <w:rsid w:val="00B81B3E"/>
    <w:rsid w:val="00B82DB5"/>
    <w:rsid w:val="00B85368"/>
    <w:rsid w:val="00B911AE"/>
    <w:rsid w:val="00B92FA5"/>
    <w:rsid w:val="00B953CB"/>
    <w:rsid w:val="00BA1532"/>
    <w:rsid w:val="00BA1D2F"/>
    <w:rsid w:val="00BA23AD"/>
    <w:rsid w:val="00BA7134"/>
    <w:rsid w:val="00BA7E55"/>
    <w:rsid w:val="00BB15D6"/>
    <w:rsid w:val="00BC6BA6"/>
    <w:rsid w:val="00BC7214"/>
    <w:rsid w:val="00BD1349"/>
    <w:rsid w:val="00BD1A9A"/>
    <w:rsid w:val="00BD31CC"/>
    <w:rsid w:val="00BE11AC"/>
    <w:rsid w:val="00BE2F1E"/>
    <w:rsid w:val="00BE32CF"/>
    <w:rsid w:val="00BF0E1B"/>
    <w:rsid w:val="00BF10CD"/>
    <w:rsid w:val="00BF1880"/>
    <w:rsid w:val="00BF36B0"/>
    <w:rsid w:val="00BF46AE"/>
    <w:rsid w:val="00BF7696"/>
    <w:rsid w:val="00C10A7B"/>
    <w:rsid w:val="00C1110A"/>
    <w:rsid w:val="00C14406"/>
    <w:rsid w:val="00C154D6"/>
    <w:rsid w:val="00C22223"/>
    <w:rsid w:val="00C24F4F"/>
    <w:rsid w:val="00C27219"/>
    <w:rsid w:val="00C325AD"/>
    <w:rsid w:val="00C369D1"/>
    <w:rsid w:val="00C4775D"/>
    <w:rsid w:val="00C50461"/>
    <w:rsid w:val="00C525F4"/>
    <w:rsid w:val="00C60285"/>
    <w:rsid w:val="00C60512"/>
    <w:rsid w:val="00C659CE"/>
    <w:rsid w:val="00C65D89"/>
    <w:rsid w:val="00C7050F"/>
    <w:rsid w:val="00C70B24"/>
    <w:rsid w:val="00C70DA7"/>
    <w:rsid w:val="00C725BC"/>
    <w:rsid w:val="00C73A86"/>
    <w:rsid w:val="00C8447C"/>
    <w:rsid w:val="00C84633"/>
    <w:rsid w:val="00C85DD3"/>
    <w:rsid w:val="00C86B5A"/>
    <w:rsid w:val="00CA1386"/>
    <w:rsid w:val="00CA1F21"/>
    <w:rsid w:val="00CA1FD7"/>
    <w:rsid w:val="00CA2029"/>
    <w:rsid w:val="00CA4A9F"/>
    <w:rsid w:val="00CA51E5"/>
    <w:rsid w:val="00CB3040"/>
    <w:rsid w:val="00CB6835"/>
    <w:rsid w:val="00CB6937"/>
    <w:rsid w:val="00CC232E"/>
    <w:rsid w:val="00CC24BA"/>
    <w:rsid w:val="00CC4FB0"/>
    <w:rsid w:val="00CC6E23"/>
    <w:rsid w:val="00CC70E4"/>
    <w:rsid w:val="00CC78C2"/>
    <w:rsid w:val="00CD04F3"/>
    <w:rsid w:val="00CD4065"/>
    <w:rsid w:val="00CD4A68"/>
    <w:rsid w:val="00CE01DA"/>
    <w:rsid w:val="00CE0713"/>
    <w:rsid w:val="00CE08A9"/>
    <w:rsid w:val="00CE0F35"/>
    <w:rsid w:val="00CE47E0"/>
    <w:rsid w:val="00CE4F35"/>
    <w:rsid w:val="00CF5552"/>
    <w:rsid w:val="00D017F9"/>
    <w:rsid w:val="00D020F4"/>
    <w:rsid w:val="00D04393"/>
    <w:rsid w:val="00D05756"/>
    <w:rsid w:val="00D10A22"/>
    <w:rsid w:val="00D14F63"/>
    <w:rsid w:val="00D15A06"/>
    <w:rsid w:val="00D16072"/>
    <w:rsid w:val="00D27785"/>
    <w:rsid w:val="00D32F0A"/>
    <w:rsid w:val="00D33323"/>
    <w:rsid w:val="00D34545"/>
    <w:rsid w:val="00D407BD"/>
    <w:rsid w:val="00D541A7"/>
    <w:rsid w:val="00D613C0"/>
    <w:rsid w:val="00D61CE8"/>
    <w:rsid w:val="00D63BE0"/>
    <w:rsid w:val="00D65A7E"/>
    <w:rsid w:val="00D66B3C"/>
    <w:rsid w:val="00D74B7C"/>
    <w:rsid w:val="00D7704B"/>
    <w:rsid w:val="00D81FDD"/>
    <w:rsid w:val="00D8380A"/>
    <w:rsid w:val="00D863C3"/>
    <w:rsid w:val="00D92481"/>
    <w:rsid w:val="00D92C29"/>
    <w:rsid w:val="00D94F38"/>
    <w:rsid w:val="00D96800"/>
    <w:rsid w:val="00DA21B4"/>
    <w:rsid w:val="00DA4D91"/>
    <w:rsid w:val="00DA699A"/>
    <w:rsid w:val="00DB2943"/>
    <w:rsid w:val="00DC27CB"/>
    <w:rsid w:val="00DC563F"/>
    <w:rsid w:val="00DE0026"/>
    <w:rsid w:val="00DE1F0B"/>
    <w:rsid w:val="00DE54CC"/>
    <w:rsid w:val="00DE731C"/>
    <w:rsid w:val="00DF36AA"/>
    <w:rsid w:val="00DF3E04"/>
    <w:rsid w:val="00DF4B2F"/>
    <w:rsid w:val="00E01A9B"/>
    <w:rsid w:val="00E05161"/>
    <w:rsid w:val="00E0563F"/>
    <w:rsid w:val="00E05B7B"/>
    <w:rsid w:val="00E071B8"/>
    <w:rsid w:val="00E1071E"/>
    <w:rsid w:val="00E11B5F"/>
    <w:rsid w:val="00E12167"/>
    <w:rsid w:val="00E12824"/>
    <w:rsid w:val="00E15CC7"/>
    <w:rsid w:val="00E17D0D"/>
    <w:rsid w:val="00E260C8"/>
    <w:rsid w:val="00E27C4E"/>
    <w:rsid w:val="00E3401B"/>
    <w:rsid w:val="00E352F9"/>
    <w:rsid w:val="00E416C7"/>
    <w:rsid w:val="00E4439E"/>
    <w:rsid w:val="00E52F4C"/>
    <w:rsid w:val="00E5596F"/>
    <w:rsid w:val="00E56820"/>
    <w:rsid w:val="00E617B9"/>
    <w:rsid w:val="00E62AB9"/>
    <w:rsid w:val="00E716E4"/>
    <w:rsid w:val="00E74D5C"/>
    <w:rsid w:val="00E81039"/>
    <w:rsid w:val="00E85D6C"/>
    <w:rsid w:val="00E878E4"/>
    <w:rsid w:val="00E943BB"/>
    <w:rsid w:val="00EA0D2F"/>
    <w:rsid w:val="00EA1D85"/>
    <w:rsid w:val="00EA4B7D"/>
    <w:rsid w:val="00EA6976"/>
    <w:rsid w:val="00EB0A23"/>
    <w:rsid w:val="00EB130D"/>
    <w:rsid w:val="00EC1344"/>
    <w:rsid w:val="00EC4CF4"/>
    <w:rsid w:val="00ED379F"/>
    <w:rsid w:val="00ED3FA2"/>
    <w:rsid w:val="00ED62B3"/>
    <w:rsid w:val="00EE35F2"/>
    <w:rsid w:val="00EE43B5"/>
    <w:rsid w:val="00EE54A0"/>
    <w:rsid w:val="00EF01C8"/>
    <w:rsid w:val="00EF0EB3"/>
    <w:rsid w:val="00EF0FFB"/>
    <w:rsid w:val="00EF36C1"/>
    <w:rsid w:val="00EF432B"/>
    <w:rsid w:val="00EF5A7E"/>
    <w:rsid w:val="00EF5B93"/>
    <w:rsid w:val="00EF708D"/>
    <w:rsid w:val="00EF73DC"/>
    <w:rsid w:val="00F000CD"/>
    <w:rsid w:val="00F02CB8"/>
    <w:rsid w:val="00F0353C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228D6"/>
    <w:rsid w:val="00F302D7"/>
    <w:rsid w:val="00F30960"/>
    <w:rsid w:val="00F32442"/>
    <w:rsid w:val="00F33244"/>
    <w:rsid w:val="00F34D32"/>
    <w:rsid w:val="00F369ED"/>
    <w:rsid w:val="00F376A4"/>
    <w:rsid w:val="00F40BC6"/>
    <w:rsid w:val="00F47186"/>
    <w:rsid w:val="00F51DAD"/>
    <w:rsid w:val="00F5430B"/>
    <w:rsid w:val="00F60A43"/>
    <w:rsid w:val="00F61704"/>
    <w:rsid w:val="00F61E25"/>
    <w:rsid w:val="00F63BF2"/>
    <w:rsid w:val="00F67099"/>
    <w:rsid w:val="00F7289A"/>
    <w:rsid w:val="00F76864"/>
    <w:rsid w:val="00F77D73"/>
    <w:rsid w:val="00F8041F"/>
    <w:rsid w:val="00F81A6D"/>
    <w:rsid w:val="00F8684D"/>
    <w:rsid w:val="00F877C5"/>
    <w:rsid w:val="00F87B28"/>
    <w:rsid w:val="00F940D3"/>
    <w:rsid w:val="00F95016"/>
    <w:rsid w:val="00F9789B"/>
    <w:rsid w:val="00FA39DD"/>
    <w:rsid w:val="00FA7D14"/>
    <w:rsid w:val="00FB0D75"/>
    <w:rsid w:val="00FB0FA7"/>
    <w:rsid w:val="00FB1326"/>
    <w:rsid w:val="00FB20ED"/>
    <w:rsid w:val="00FB627D"/>
    <w:rsid w:val="00FB7279"/>
    <w:rsid w:val="00FC23B8"/>
    <w:rsid w:val="00FC429E"/>
    <w:rsid w:val="00FC7052"/>
    <w:rsid w:val="00FD4A9C"/>
    <w:rsid w:val="00FD4C2C"/>
    <w:rsid w:val="00FD6C05"/>
    <w:rsid w:val="00FE0BBB"/>
    <w:rsid w:val="00FE213F"/>
    <w:rsid w:val="00FE791D"/>
    <w:rsid w:val="00FF067A"/>
    <w:rsid w:val="00FF225D"/>
    <w:rsid w:val="00FF2444"/>
    <w:rsid w:val="00FF3BFD"/>
    <w:rsid w:val="00FF5662"/>
    <w:rsid w:val="00FF5E3B"/>
    <w:rsid w:val="00FF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  <w:style w:type="paragraph" w:customStyle="1" w:styleId="Default">
    <w:name w:val="Default"/>
    <w:rsid w:val="00934DE3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  <w:style w:type="paragraph" w:customStyle="1" w:styleId="Default">
    <w:name w:val="Default"/>
    <w:rsid w:val="00934DE3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72092-D237-470B-9EC3-4D8C4E3E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2020-01-16T15:00:00Z</cp:lastPrinted>
  <dcterms:created xsi:type="dcterms:W3CDTF">2020-07-05T08:57:00Z</dcterms:created>
  <dcterms:modified xsi:type="dcterms:W3CDTF">2020-07-05T08:57:00Z</dcterms:modified>
</cp:coreProperties>
</file>