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57" w:rsidRPr="006B4D4F" w:rsidRDefault="00171059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6B4D4F">
        <w:rPr>
          <w:rFonts w:ascii="Garamond" w:hAnsi="Garamond"/>
          <w:b/>
          <w:sz w:val="24"/>
          <w:szCs w:val="24"/>
        </w:rPr>
        <w:t>A/2</w:t>
      </w:r>
      <w:r w:rsidR="00A04657" w:rsidRPr="006B4D4F">
        <w:rPr>
          <w:rFonts w:ascii="Garamond" w:hAnsi="Garamond"/>
          <w:b/>
          <w:sz w:val="24"/>
          <w:szCs w:val="24"/>
        </w:rPr>
        <w:t xml:space="preserve"> </w:t>
      </w:r>
    </w:p>
    <w:p w:rsidR="00DA21B4" w:rsidRPr="006B4D4F" w:rsidRDefault="00464A67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6B4D4F">
        <w:rPr>
          <w:rFonts w:ascii="Garamond" w:hAnsi="Garamond"/>
          <w:b/>
          <w:sz w:val="24"/>
          <w:szCs w:val="24"/>
        </w:rPr>
        <w:t xml:space="preserve">Tabella dei titoli valutabili </w:t>
      </w:r>
      <w:r w:rsidR="008871D3" w:rsidRPr="006B4D4F">
        <w:rPr>
          <w:rFonts w:ascii="Garamond" w:hAnsi="Garamond"/>
          <w:b/>
          <w:sz w:val="24"/>
          <w:szCs w:val="24"/>
        </w:rPr>
        <w:t>per le graduatorie provinciali di II fascia per le supplenze</w:t>
      </w:r>
      <w:r w:rsidRPr="006B4D4F">
        <w:rPr>
          <w:rFonts w:ascii="Garamond" w:hAnsi="Garamond"/>
          <w:b/>
          <w:sz w:val="24"/>
          <w:szCs w:val="24"/>
        </w:rPr>
        <w:t xml:space="preserve"> del personale docente nella scuola dell’infanzia e primaria</w:t>
      </w:r>
      <w:r w:rsidR="008E3E94" w:rsidRPr="006B4D4F">
        <w:rPr>
          <w:rFonts w:ascii="Garamond" w:hAnsi="Garamond"/>
          <w:b/>
          <w:sz w:val="24"/>
          <w:szCs w:val="24"/>
        </w:rPr>
        <w:t xml:space="preserve"> su posto </w:t>
      </w:r>
      <w:r w:rsidR="00BF70F7" w:rsidRPr="006B4D4F">
        <w:rPr>
          <w:rFonts w:ascii="Garamond" w:hAnsi="Garamond"/>
          <w:b/>
          <w:sz w:val="24"/>
          <w:szCs w:val="24"/>
        </w:rPr>
        <w:t>comune</w:t>
      </w:r>
    </w:p>
    <w:p w:rsidR="00FF3BFD" w:rsidRPr="006B4D4F" w:rsidRDefault="00FF3BFD" w:rsidP="00FF3BFD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237AB4" w:rsidRPr="006B4D4F" w:rsidRDefault="00237AB4" w:rsidP="00237AB4">
      <w:pPr>
        <w:jc w:val="both"/>
        <w:rPr>
          <w:rFonts w:ascii="Times New Roman" w:hAnsi="Times New Roman"/>
          <w:sz w:val="24"/>
          <w:szCs w:val="24"/>
        </w:rPr>
      </w:pPr>
    </w:p>
    <w:p w:rsidR="00237AB4" w:rsidRPr="006B4D4F" w:rsidRDefault="00237AB4" w:rsidP="00237AB4">
      <w:pPr>
        <w:rPr>
          <w:rFonts w:ascii="Times New Roman" w:hAnsi="Times New Roman"/>
        </w:rPr>
      </w:pPr>
    </w:p>
    <w:tbl>
      <w:tblPr>
        <w:tblW w:w="90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30"/>
        <w:gridCol w:w="6141"/>
        <w:gridCol w:w="1701"/>
      </w:tblGrid>
      <w:tr w:rsidR="006B4D4F" w:rsidRPr="006B4D4F" w:rsidTr="00A30F2F">
        <w:trPr>
          <w:trHeight w:val="30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1210B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6B4D4F" w:rsidRPr="006B4D4F" w:rsidTr="00A30F2F">
        <w:tc>
          <w:tcPr>
            <w:tcW w:w="12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14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8871D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Titolo di accesso alla graduatoria e relativo punteggio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9D7D7C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B4D4F" w:rsidRPr="006B4D4F" w:rsidTr="00A30F2F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710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Costituisce titolo di accesso alla graduatoria l’iscrizione, per l</w:t>
            </w:r>
            <w:r w:rsidR="006B4D4F">
              <w:rPr>
                <w:rFonts w:ascii="Garamond" w:hAnsi="Garamond"/>
                <w:sz w:val="24"/>
                <w:szCs w:val="24"/>
              </w:rPr>
              <w:t>’anno accademico 2020/2021, al 3</w:t>
            </w:r>
            <w:r w:rsidRPr="006B4D4F">
              <w:rPr>
                <w:rFonts w:ascii="Garamond" w:hAnsi="Garamond"/>
                <w:sz w:val="24"/>
                <w:szCs w:val="24"/>
              </w:rPr>
              <w:t>°</w:t>
            </w:r>
            <w:r w:rsidR="006B4D4F">
              <w:rPr>
                <w:rFonts w:ascii="Garamond" w:hAnsi="Garamond"/>
                <w:sz w:val="24"/>
                <w:szCs w:val="24"/>
              </w:rPr>
              <w:t>, 4°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o al 5° anno del corso di laurea in Scienze della Formazione Primaria, avendo assolto, rispettivamente, almeno 150</w:t>
            </w:r>
            <w:r w:rsidR="006B4D4F">
              <w:rPr>
                <w:rFonts w:ascii="Garamond" w:hAnsi="Garamond"/>
                <w:sz w:val="24"/>
                <w:szCs w:val="24"/>
              </w:rPr>
              <w:t>,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B4D4F">
              <w:rPr>
                <w:rFonts w:ascii="Garamond" w:hAnsi="Garamond"/>
                <w:sz w:val="24"/>
                <w:szCs w:val="24"/>
              </w:rPr>
              <w:t>200 e 250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CFU entro il termine di presentazione dell’istanza.</w:t>
            </w:r>
          </w:p>
          <w:p w:rsidR="00A30F2F" w:rsidRPr="006B4D4F" w:rsidRDefault="00A30F2F" w:rsidP="001710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Il titolo di accesso è valutato in ragione della media ponderata degli esami sostenuti nel corso di laurea in Scienze della Formazione primaria entro i termini di presentazione delle istanze.  </w:t>
            </w:r>
          </w:p>
          <w:p w:rsidR="00A30F2F" w:rsidRPr="006B4D4F" w:rsidRDefault="00A30F2F" w:rsidP="0017105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A30F2F" w:rsidRPr="006B4D4F" w:rsidRDefault="00A30F2F" w:rsidP="0017105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A30F2F" w:rsidRPr="006B4D4F" w:rsidRDefault="00A30F2F" w:rsidP="00361E1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Le eventuali frazioni di voto sono arrotondate all’unità superiore qualora pari o superiori a 0,50 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A30F2F" w:rsidRPr="006B4D4F" w:rsidRDefault="00A30F2F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br/>
              <w:t xml:space="preserve">23 = 5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24 = 6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25 = 7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26 = 8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27 = 9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28 = 10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29 =11 </w:t>
            </w:r>
          </w:p>
          <w:p w:rsidR="00A30F2F" w:rsidRPr="006B4D4F" w:rsidRDefault="00A30F2F" w:rsidP="0017105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30 =12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Punteggio per i titoli professionali e culturali ulteriori rispetto al titolo di accesso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0F2F" w:rsidRPr="006B4D4F" w:rsidRDefault="00A30F2F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368D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Inserimento nella graduatoria di merito ovvero superamento di tutte le prove di un precedente concorso ordinario per titoli ed esami per altro posto di altro grado,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laurea, laurea specialistica o laurea magistrale costituente titolo di accesso alle classi di concorso A-24 e A-25 per la lingua inglese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laurea, laurea specialistica o laurea magistrale o diploma ISEF costituente titolo di accesso alle classi di concorso A-48 e A-49 per scienze motorie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C44A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laurea, laurea specialistica o laurea magistrale, diploma accademico di II livello o diploma di conservatorio costituente titolo di accesso alle classi di concorso A-29, A-30, A-55 e A-56 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368D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Diploma di laurea, laurea specialistica, laurea magistrale, diploma accademico di vecchio ordinamento e diploma accademico di II livello, non altrimenti valutati, per ciascun </w:t>
            </w:r>
            <w:r w:rsidRPr="006B4D4F">
              <w:rPr>
                <w:rFonts w:ascii="Garamond" w:hAnsi="Garamond"/>
                <w:sz w:val="24"/>
                <w:szCs w:val="24"/>
              </w:rPr>
              <w:lastRenderedPageBreak/>
              <w:t>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lastRenderedPageBreak/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lastRenderedPageBreak/>
              <w:t>B.6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Laurea triennale nelle classi di laurea L-11 e L-12, purché il piano di studi abbia ricompreso 24 crediti nei settori scientifico disciplinari L-LIN 01 ovvero L-LIN 02 e 36 crediti nei settori scientifico disciplinari L-LIN 11 ovvero L-LIN 12, purché non sia stata titolo di accesso al titolo di cui al punto B.2 (si valuta un solo titolo) 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332F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Laurea triennale nelle classi di laurea L-22, purché non sia stata titolo di accesso al titolo di cui al punto B.3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C44AB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accademico di I livello conseguito nei Conservatori di Musica di cui al decreto del Ministro dell’istruzione, dell’università e della ricerca 30 settembre 2009, n. 124 ovvero presso gli Istituti Superiori di Studi Musicali ai sensi del decreto del Ministro dell’istruzione, dell’università e della ricerca 28 marzo 2013, n. 243, purché non sia stata titolo di accesso al titolo di cui al punto B.4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368D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Laurea triennale o diploma accademico di I livello, non altrimenti </w:t>
            </w:r>
            <w:r w:rsidR="00350DBC" w:rsidRPr="006B4D4F">
              <w:rPr>
                <w:rFonts w:ascii="Garamond" w:hAnsi="Garamond"/>
                <w:sz w:val="24"/>
                <w:szCs w:val="24"/>
              </w:rPr>
              <w:t>valutat</w:t>
            </w:r>
            <w:r w:rsidR="00350DBC" w:rsidRPr="006B4D4F"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o che non abbiano costituito titolo di accesso ai titoli di cui ai punti B.2, B.3, B.4, B.5,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254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5E46D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Dottorato di ricerca; </w:t>
            </w:r>
            <w:r w:rsidR="00350DBC" w:rsidRPr="006B4D4F">
              <w:rPr>
                <w:rFonts w:ascii="Garamond" w:hAnsi="Garamond"/>
                <w:sz w:val="24"/>
                <w:szCs w:val="24"/>
              </w:rPr>
              <w:t>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Abilitazione scientifica nazionale a professore di I o II fascia,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E0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F16024" w:rsidP="009D7E0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Inserimento nelle graduatorie nazionali preposte alla stipula di contratti di docenza a tempo indeterminato per i docenti AFAM, per ciascuna graduatoria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9D7D7C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specializzazione universitario, non altrimenti valutato di durata pluriennale (si valuta al massimo un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6B4D4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368D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Titolo di specializzazione sul sostegno agli alunni con disabilità, </w:t>
            </w:r>
            <w:r w:rsidRPr="006B4D4F">
              <w:rPr>
                <w:rFonts w:ascii="Garamond" w:hAnsi="Garamond"/>
                <w:sz w:val="24"/>
                <w:szCs w:val="24"/>
              </w:rPr>
              <w:lastRenderedPageBreak/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6B4D4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9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lastRenderedPageBreak/>
              <w:t>B.17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368D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di abilitazione all’insegnamento in CLIL in un Paese UE,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7A2DA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6B4D4F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6B4D4F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16 aprile 2012, n. 6, o per la positiva frequenza di Corsi di perfezionamento sulla metodologia CLIL della durata pari a 60 CFU, purché congiunti alla certificazione nella relativa lingua straniera di livello almeno B2,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B.19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362A7F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362A7F" w:rsidRPr="006B4D4F">
              <w:rPr>
                <w:rFonts w:ascii="Garamond" w:hAnsi="Garamond"/>
                <w:sz w:val="24"/>
                <w:szCs w:val="24"/>
              </w:rPr>
              <w:t>B2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</w:t>
            </w:r>
            <w:proofErr w:type="spellStart"/>
            <w:r w:rsidRPr="006B4D4F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6B4D4F">
              <w:rPr>
                <w:rFonts w:ascii="Garamond" w:hAnsi="Garamond"/>
                <w:sz w:val="24"/>
                <w:szCs w:val="24"/>
              </w:rPr>
              <w:t xml:space="preserve">. 3889, pubblicato sulla G.U. n. 79 del 3 aprile 2012 ed esclusivamente presso gli Enti ricompresi nell’elenco degli Enti certificatori riconosciuti dal </w:t>
            </w:r>
            <w:proofErr w:type="spellStart"/>
            <w:r w:rsidRPr="006B4D4F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6B4D4F">
              <w:rPr>
                <w:rFonts w:ascii="Garamond" w:hAnsi="Garamond"/>
                <w:sz w:val="24"/>
                <w:szCs w:val="24"/>
              </w:rPr>
              <w:t xml:space="preserve"> ai sensi del predetto decreto, per ciascun titolo (è valutato un solo titolo per ciascuna lingua straniera)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7A2DA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A30F2F" w:rsidRPr="006B4D4F" w:rsidRDefault="00A30F2F" w:rsidP="007A2DA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A30F2F" w:rsidRPr="006B4D4F" w:rsidRDefault="00A30F2F" w:rsidP="007C1220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B.20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B85E3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6B4D4F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B.21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247EC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6B4D4F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6B4D4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DF034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B.22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247EC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6B4D4F" w:rsidRPr="006B4D4F" w:rsidTr="00A30F2F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Titoli di servizio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123696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6B4D4F" w:rsidRPr="006B4D4F" w:rsidTr="00A30F2F">
        <w:tc>
          <w:tcPr>
            <w:tcW w:w="1230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14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Servizio di insegnamento prestato sullo specifico grado, per scuola dell’infanzia e primaria, per posto comune o di sostegno, per cui si procede alla valutazione, 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istruzione, ovvero nelle istituzioni scolastiche statali e paritarie all’estero; 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b) nei percorsi di istruzione dei Paesi esteri o di scuole a ordinamento estero in Italia, riconosciute dai rispettivi Paesi, riconducibile alla specificità de</w:t>
            </w:r>
            <w:r w:rsidR="00B16E95" w:rsidRPr="006B4D4F">
              <w:rPr>
                <w:rFonts w:ascii="Garamond" w:hAnsi="Garamond"/>
                <w:sz w:val="24"/>
                <w:szCs w:val="24"/>
              </w:rPr>
              <w:t>l posto di sostegno o del grado;</w:t>
            </w:r>
          </w:p>
          <w:p w:rsidR="00B16E95" w:rsidRPr="006B4D4F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lastRenderedPageBreak/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128. 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giorni, </w:t>
            </w:r>
          </w:p>
        </w:tc>
        <w:tc>
          <w:tcPr>
            <w:tcW w:w="170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lastRenderedPageBreak/>
              <w:t>2</w:t>
            </w:r>
          </w:p>
        </w:tc>
      </w:tr>
      <w:tr w:rsidR="006B4D4F" w:rsidRPr="006B4D4F" w:rsidTr="00A30F2F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6B4D4F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  <w:bookmarkStart w:id="0" w:name="_GoBack"/>
            <w:bookmarkEnd w:id="0"/>
          </w:p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6B4D4F" w:rsidRPr="006B4D4F" w:rsidTr="00A30F2F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6E95" w:rsidRPr="003D073D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D073D">
              <w:rPr>
                <w:rFonts w:ascii="Garamond" w:hAnsi="Garamond"/>
                <w:sz w:val="24"/>
                <w:szCs w:val="24"/>
              </w:rPr>
              <w:t xml:space="preserve">Servizio di insegnamento prestato su altro grado o su altra classe di concorso per cui si procede alla valutazione, </w:t>
            </w:r>
          </w:p>
          <w:p w:rsidR="00B16E95" w:rsidRPr="003D073D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D073D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B16E95" w:rsidRPr="003D073D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D073D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B16E95" w:rsidRPr="003D073D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D073D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B16E95" w:rsidRPr="003D073D" w:rsidRDefault="00B16E95" w:rsidP="00B16E9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D073D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Sono attribuiti, per ciascun mese o frazione di almeno 16 giorni,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6B4D4F" w:rsidRPr="006B4D4F" w:rsidTr="00A30F2F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6B4D4F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6B4D4F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6B4D4F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6B4D4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A30F2F" w:rsidRPr="006B4D4F" w:rsidTr="00A30F2F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 xml:space="preserve">NOTE </w:t>
            </w:r>
          </w:p>
          <w:p w:rsidR="00A30F2F" w:rsidRPr="006B4D4F" w:rsidRDefault="00A30F2F" w:rsidP="0012369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al servizio</w:t>
            </w: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6B4D4F">
              <w:rPr>
                <w:rFonts w:ascii="Garamond" w:hAnsi="Garamond"/>
                <w:bCs/>
                <w:sz w:val="24"/>
                <w:szCs w:val="24"/>
              </w:rPr>
              <w:t>Il servizio prestato nelle sezioni primavera è valutato ai sensi del punto C.1 per la scuola dell’infanzia e ai sensi del punto C.2 nella scuola primaria</w:t>
            </w:r>
          </w:p>
          <w:p w:rsidR="00A30F2F" w:rsidRPr="006B4D4F" w:rsidRDefault="00A30F2F" w:rsidP="0012369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D4F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6B4D4F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6B4D4F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6B4D4F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6B4D4F">
              <w:rPr>
                <w:rFonts w:ascii="Garamond" w:hAnsi="Garamond"/>
                <w:sz w:val="24"/>
                <w:szCs w:val="24"/>
              </w:rPr>
              <w:t xml:space="preserve"> 2006/07 nelle pluriclassi delle scuole di montagna di cui alla legge 1° marzo 1957, n. 90, nelle scuole delle isole minori e degli istituti penitenziari è valutato in misura doppia.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F2F" w:rsidRPr="006B4D4F" w:rsidRDefault="00A30F2F" w:rsidP="00123696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4339E7" w:rsidRPr="006B4D4F" w:rsidRDefault="004339E7" w:rsidP="003D073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339E7" w:rsidRPr="006B4D4F" w:rsidSect="00254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93BD11B" w15:done="0"/>
  <w15:commentEx w15:paraId="31E8C7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22BA" w16cex:dateUtc="2020-06-19T09:40:00Z"/>
  <w16cex:commentExtensible w16cex:durableId="2299DB4A" w16cex:dateUtc="2020-06-21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3BD11B" w16cid:durableId="229722BA"/>
  <w16cid:commentId w16cid:paraId="31E8C754" w16cid:durableId="2299DB4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D76" w:rsidRDefault="00DD5D76">
      <w:r>
        <w:separator/>
      </w:r>
    </w:p>
  </w:endnote>
  <w:endnote w:type="continuationSeparator" w:id="0">
    <w:p w:rsidR="00DD5D76" w:rsidRDefault="00DD5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985578"/>
      <w:docPartObj>
        <w:docPartGallery w:val="Page Numbers (Bottom of Page)"/>
        <w:docPartUnique/>
      </w:docPartObj>
    </w:sdtPr>
    <w:sdtContent>
      <w:p w:rsidR="00BA0798" w:rsidRDefault="00861DED">
        <w:pPr>
          <w:pStyle w:val="Pidipagina"/>
          <w:jc w:val="center"/>
        </w:pPr>
        <w:r>
          <w:fldChar w:fldCharType="begin"/>
        </w:r>
        <w:r w:rsidR="00BA0798">
          <w:instrText>PAGE   \* MERGEFORMAT</w:instrText>
        </w:r>
        <w:r>
          <w:fldChar w:fldCharType="separate"/>
        </w:r>
        <w:r w:rsidR="009412C9">
          <w:rPr>
            <w:noProof/>
          </w:rPr>
          <w:t>4</w:t>
        </w:r>
        <w:r>
          <w:fldChar w:fldCharType="end"/>
        </w:r>
      </w:p>
    </w:sdtContent>
  </w:sdt>
  <w:p w:rsidR="00923298" w:rsidRDefault="009232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D76" w:rsidRDefault="00DD5D76">
      <w:r>
        <w:separator/>
      </w:r>
    </w:p>
  </w:footnote>
  <w:footnote w:type="continuationSeparator" w:id="0">
    <w:p w:rsidR="00DD5D76" w:rsidRDefault="00DD5D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7B0" w:rsidRPr="008C735B" w:rsidRDefault="006D27B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27B0" w:rsidRPr="00C725BC" w:rsidRDefault="006D27B0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</w:t>
    </w:r>
  </w:p>
  <w:p w:rsidR="006D27B0" w:rsidRPr="00CC78C2" w:rsidRDefault="006D27B0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A2246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401F8"/>
    <w:multiLevelType w:val="hybridMultilevel"/>
    <w:tmpl w:val="13EC83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64F68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80E2C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B5EE2"/>
    <w:multiLevelType w:val="hybridMultilevel"/>
    <w:tmpl w:val="FB06A76E"/>
    <w:lvl w:ilvl="0" w:tplc="425893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8741A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658C"/>
    <w:multiLevelType w:val="hybridMultilevel"/>
    <w:tmpl w:val="86E207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6"/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17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10"/>
  </w:num>
  <w:num w:numId="12">
    <w:abstractNumId w:val="45"/>
  </w:num>
  <w:num w:numId="13">
    <w:abstractNumId w:val="28"/>
  </w:num>
  <w:num w:numId="14">
    <w:abstractNumId w:val="19"/>
  </w:num>
  <w:num w:numId="15">
    <w:abstractNumId w:val="14"/>
  </w:num>
  <w:num w:numId="16">
    <w:abstractNumId w:val="38"/>
  </w:num>
  <w:num w:numId="17">
    <w:abstractNumId w:val="5"/>
  </w:num>
  <w:num w:numId="18">
    <w:abstractNumId w:val="23"/>
  </w:num>
  <w:num w:numId="19">
    <w:abstractNumId w:val="7"/>
  </w:num>
  <w:num w:numId="20">
    <w:abstractNumId w:val="33"/>
  </w:num>
  <w:num w:numId="21">
    <w:abstractNumId w:val="15"/>
  </w:num>
  <w:num w:numId="22">
    <w:abstractNumId w:val="22"/>
  </w:num>
  <w:num w:numId="23">
    <w:abstractNumId w:val="42"/>
  </w:num>
  <w:num w:numId="24">
    <w:abstractNumId w:val="30"/>
  </w:num>
  <w:num w:numId="25">
    <w:abstractNumId w:val="21"/>
  </w:num>
  <w:num w:numId="26">
    <w:abstractNumId w:val="39"/>
  </w:num>
  <w:num w:numId="27">
    <w:abstractNumId w:val="4"/>
  </w:num>
  <w:num w:numId="28">
    <w:abstractNumId w:val="40"/>
  </w:num>
  <w:num w:numId="29">
    <w:abstractNumId w:val="31"/>
  </w:num>
  <w:num w:numId="30">
    <w:abstractNumId w:val="9"/>
  </w:num>
  <w:num w:numId="31">
    <w:abstractNumId w:val="24"/>
  </w:num>
  <w:num w:numId="32">
    <w:abstractNumId w:val="35"/>
  </w:num>
  <w:num w:numId="33">
    <w:abstractNumId w:val="12"/>
  </w:num>
  <w:num w:numId="34">
    <w:abstractNumId w:val="8"/>
  </w:num>
  <w:num w:numId="35">
    <w:abstractNumId w:val="44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43"/>
  </w:num>
  <w:num w:numId="41">
    <w:abstractNumId w:val="37"/>
  </w:num>
  <w:num w:numId="42">
    <w:abstractNumId w:val="26"/>
  </w:num>
  <w:num w:numId="43">
    <w:abstractNumId w:val="25"/>
  </w:num>
  <w:num w:numId="44">
    <w:abstractNumId w:val="27"/>
  </w:num>
  <w:num w:numId="45">
    <w:abstractNumId w:val="2"/>
  </w:num>
  <w:num w:numId="46">
    <w:abstractNumId w:val="18"/>
  </w:num>
  <w:num w:numId="47">
    <w:abstractNumId w:val="16"/>
  </w:num>
  <w:num w:numId="48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06B60"/>
    <w:rsid w:val="00010CA9"/>
    <w:rsid w:val="00010FBB"/>
    <w:rsid w:val="000110B5"/>
    <w:rsid w:val="00012B2E"/>
    <w:rsid w:val="00013B9C"/>
    <w:rsid w:val="00013EE2"/>
    <w:rsid w:val="0001684B"/>
    <w:rsid w:val="00017C49"/>
    <w:rsid w:val="00017DD8"/>
    <w:rsid w:val="0002285B"/>
    <w:rsid w:val="000279B7"/>
    <w:rsid w:val="0003153D"/>
    <w:rsid w:val="000315E9"/>
    <w:rsid w:val="0003171A"/>
    <w:rsid w:val="0003685D"/>
    <w:rsid w:val="000407D1"/>
    <w:rsid w:val="00041610"/>
    <w:rsid w:val="00041DC3"/>
    <w:rsid w:val="000428D3"/>
    <w:rsid w:val="00042CD4"/>
    <w:rsid w:val="00046377"/>
    <w:rsid w:val="000507DF"/>
    <w:rsid w:val="00052B3A"/>
    <w:rsid w:val="00052ECB"/>
    <w:rsid w:val="00054CEE"/>
    <w:rsid w:val="0005710A"/>
    <w:rsid w:val="00062297"/>
    <w:rsid w:val="0006371E"/>
    <w:rsid w:val="00063CE0"/>
    <w:rsid w:val="000655CA"/>
    <w:rsid w:val="00070106"/>
    <w:rsid w:val="0007746A"/>
    <w:rsid w:val="00080BE8"/>
    <w:rsid w:val="00087850"/>
    <w:rsid w:val="00087989"/>
    <w:rsid w:val="00087B56"/>
    <w:rsid w:val="000911DC"/>
    <w:rsid w:val="00091EFB"/>
    <w:rsid w:val="00092025"/>
    <w:rsid w:val="00092644"/>
    <w:rsid w:val="000926F0"/>
    <w:rsid w:val="00094025"/>
    <w:rsid w:val="00095624"/>
    <w:rsid w:val="000A087A"/>
    <w:rsid w:val="000A185C"/>
    <w:rsid w:val="000A2E0D"/>
    <w:rsid w:val="000A3D2B"/>
    <w:rsid w:val="000A50BC"/>
    <w:rsid w:val="000A55DB"/>
    <w:rsid w:val="000A6145"/>
    <w:rsid w:val="000A79FA"/>
    <w:rsid w:val="000B082E"/>
    <w:rsid w:val="000B20F8"/>
    <w:rsid w:val="000C2810"/>
    <w:rsid w:val="000C2F7B"/>
    <w:rsid w:val="000C36CD"/>
    <w:rsid w:val="000C5C10"/>
    <w:rsid w:val="000C6454"/>
    <w:rsid w:val="000C6778"/>
    <w:rsid w:val="000D0D9E"/>
    <w:rsid w:val="000D2138"/>
    <w:rsid w:val="000D449D"/>
    <w:rsid w:val="000D4787"/>
    <w:rsid w:val="000D65DC"/>
    <w:rsid w:val="000D68CC"/>
    <w:rsid w:val="000D7710"/>
    <w:rsid w:val="000E6277"/>
    <w:rsid w:val="000E65A8"/>
    <w:rsid w:val="000F1BD2"/>
    <w:rsid w:val="000F21AF"/>
    <w:rsid w:val="000F4041"/>
    <w:rsid w:val="000F46AC"/>
    <w:rsid w:val="000F6CAD"/>
    <w:rsid w:val="00104E0C"/>
    <w:rsid w:val="0010794B"/>
    <w:rsid w:val="00110746"/>
    <w:rsid w:val="001138BE"/>
    <w:rsid w:val="00114F26"/>
    <w:rsid w:val="00115894"/>
    <w:rsid w:val="00115D2D"/>
    <w:rsid w:val="00115D6C"/>
    <w:rsid w:val="0011659B"/>
    <w:rsid w:val="00116D8D"/>
    <w:rsid w:val="001210B5"/>
    <w:rsid w:val="001215DB"/>
    <w:rsid w:val="00121FD7"/>
    <w:rsid w:val="001226E2"/>
    <w:rsid w:val="00125667"/>
    <w:rsid w:val="00125A8E"/>
    <w:rsid w:val="00125BAF"/>
    <w:rsid w:val="00127FE4"/>
    <w:rsid w:val="00130252"/>
    <w:rsid w:val="001323AC"/>
    <w:rsid w:val="00132A8F"/>
    <w:rsid w:val="00132CB9"/>
    <w:rsid w:val="00132FAD"/>
    <w:rsid w:val="0013400A"/>
    <w:rsid w:val="001359E6"/>
    <w:rsid w:val="001368D0"/>
    <w:rsid w:val="00137222"/>
    <w:rsid w:val="00140AFD"/>
    <w:rsid w:val="00140CB3"/>
    <w:rsid w:val="00145AA1"/>
    <w:rsid w:val="00153245"/>
    <w:rsid w:val="00153732"/>
    <w:rsid w:val="00155908"/>
    <w:rsid w:val="001572AB"/>
    <w:rsid w:val="00162287"/>
    <w:rsid w:val="00164F3E"/>
    <w:rsid w:val="0016529E"/>
    <w:rsid w:val="00165B0D"/>
    <w:rsid w:val="00167A1F"/>
    <w:rsid w:val="00171059"/>
    <w:rsid w:val="00172280"/>
    <w:rsid w:val="00172ADD"/>
    <w:rsid w:val="001736A7"/>
    <w:rsid w:val="0017567B"/>
    <w:rsid w:val="00176467"/>
    <w:rsid w:val="00177675"/>
    <w:rsid w:val="0017798D"/>
    <w:rsid w:val="00177C03"/>
    <w:rsid w:val="00183C20"/>
    <w:rsid w:val="0018557E"/>
    <w:rsid w:val="00185588"/>
    <w:rsid w:val="00185FC5"/>
    <w:rsid w:val="00186294"/>
    <w:rsid w:val="00187837"/>
    <w:rsid w:val="00190170"/>
    <w:rsid w:val="00191AA5"/>
    <w:rsid w:val="00191C9A"/>
    <w:rsid w:val="00195466"/>
    <w:rsid w:val="00197737"/>
    <w:rsid w:val="001A166D"/>
    <w:rsid w:val="001A3757"/>
    <w:rsid w:val="001A41C0"/>
    <w:rsid w:val="001A4A2E"/>
    <w:rsid w:val="001A7814"/>
    <w:rsid w:val="001B0FB6"/>
    <w:rsid w:val="001B11B6"/>
    <w:rsid w:val="001B19BD"/>
    <w:rsid w:val="001B1DE9"/>
    <w:rsid w:val="001B2963"/>
    <w:rsid w:val="001B2C74"/>
    <w:rsid w:val="001B4D72"/>
    <w:rsid w:val="001B51AA"/>
    <w:rsid w:val="001C58FF"/>
    <w:rsid w:val="001C5C96"/>
    <w:rsid w:val="001D2D5B"/>
    <w:rsid w:val="001D3935"/>
    <w:rsid w:val="001D40FB"/>
    <w:rsid w:val="001D48F6"/>
    <w:rsid w:val="001D575E"/>
    <w:rsid w:val="001E4414"/>
    <w:rsid w:val="001E5184"/>
    <w:rsid w:val="001F18C2"/>
    <w:rsid w:val="001F2ACA"/>
    <w:rsid w:val="001F5103"/>
    <w:rsid w:val="001F5202"/>
    <w:rsid w:val="001F591F"/>
    <w:rsid w:val="001F66EA"/>
    <w:rsid w:val="001F7A93"/>
    <w:rsid w:val="001F7F63"/>
    <w:rsid w:val="00200763"/>
    <w:rsid w:val="00202EA7"/>
    <w:rsid w:val="00206402"/>
    <w:rsid w:val="00217C8D"/>
    <w:rsid w:val="00221F05"/>
    <w:rsid w:val="00223823"/>
    <w:rsid w:val="0022564C"/>
    <w:rsid w:val="00231B58"/>
    <w:rsid w:val="00233808"/>
    <w:rsid w:val="00234ED9"/>
    <w:rsid w:val="00235124"/>
    <w:rsid w:val="00237AB4"/>
    <w:rsid w:val="002423F5"/>
    <w:rsid w:val="00242E61"/>
    <w:rsid w:val="00243037"/>
    <w:rsid w:val="00243059"/>
    <w:rsid w:val="00245D75"/>
    <w:rsid w:val="00247ECF"/>
    <w:rsid w:val="00251231"/>
    <w:rsid w:val="002515F3"/>
    <w:rsid w:val="00254C90"/>
    <w:rsid w:val="00257458"/>
    <w:rsid w:val="00257D59"/>
    <w:rsid w:val="00261382"/>
    <w:rsid w:val="00266D96"/>
    <w:rsid w:val="0027001C"/>
    <w:rsid w:val="00272C08"/>
    <w:rsid w:val="00272F94"/>
    <w:rsid w:val="00277C58"/>
    <w:rsid w:val="00277F8B"/>
    <w:rsid w:val="00281780"/>
    <w:rsid w:val="00281D79"/>
    <w:rsid w:val="00282DAC"/>
    <w:rsid w:val="00284481"/>
    <w:rsid w:val="00293051"/>
    <w:rsid w:val="002951C2"/>
    <w:rsid w:val="0029603E"/>
    <w:rsid w:val="002973DF"/>
    <w:rsid w:val="002A0D07"/>
    <w:rsid w:val="002A19A8"/>
    <w:rsid w:val="002A32D7"/>
    <w:rsid w:val="002A4F6A"/>
    <w:rsid w:val="002A5838"/>
    <w:rsid w:val="002A5AA8"/>
    <w:rsid w:val="002A7609"/>
    <w:rsid w:val="002B036D"/>
    <w:rsid w:val="002B1169"/>
    <w:rsid w:val="002B1A3B"/>
    <w:rsid w:val="002B2505"/>
    <w:rsid w:val="002B2CAC"/>
    <w:rsid w:val="002B3188"/>
    <w:rsid w:val="002B3294"/>
    <w:rsid w:val="002B33A4"/>
    <w:rsid w:val="002B3CB1"/>
    <w:rsid w:val="002B6397"/>
    <w:rsid w:val="002B6E58"/>
    <w:rsid w:val="002B6EA9"/>
    <w:rsid w:val="002B70AD"/>
    <w:rsid w:val="002B7E51"/>
    <w:rsid w:val="002C0057"/>
    <w:rsid w:val="002C7400"/>
    <w:rsid w:val="002D0425"/>
    <w:rsid w:val="002D364B"/>
    <w:rsid w:val="002E2B24"/>
    <w:rsid w:val="002E35E8"/>
    <w:rsid w:val="002E4EC4"/>
    <w:rsid w:val="002E5018"/>
    <w:rsid w:val="002E64C8"/>
    <w:rsid w:val="002F066F"/>
    <w:rsid w:val="002F1652"/>
    <w:rsid w:val="002F302B"/>
    <w:rsid w:val="002F3121"/>
    <w:rsid w:val="002F3DA4"/>
    <w:rsid w:val="002F7A62"/>
    <w:rsid w:val="00302E82"/>
    <w:rsid w:val="00303B06"/>
    <w:rsid w:val="00303F38"/>
    <w:rsid w:val="00304CAF"/>
    <w:rsid w:val="00316635"/>
    <w:rsid w:val="00320BCB"/>
    <w:rsid w:val="00323811"/>
    <w:rsid w:val="00323B7D"/>
    <w:rsid w:val="00324CB0"/>
    <w:rsid w:val="00326F99"/>
    <w:rsid w:val="003278FE"/>
    <w:rsid w:val="00331DBE"/>
    <w:rsid w:val="00332014"/>
    <w:rsid w:val="00332948"/>
    <w:rsid w:val="00332FDE"/>
    <w:rsid w:val="00337457"/>
    <w:rsid w:val="00340F9C"/>
    <w:rsid w:val="0035025A"/>
    <w:rsid w:val="00350C9F"/>
    <w:rsid w:val="00350DBC"/>
    <w:rsid w:val="00351946"/>
    <w:rsid w:val="00352E66"/>
    <w:rsid w:val="00360BBA"/>
    <w:rsid w:val="00361E1A"/>
    <w:rsid w:val="00361F97"/>
    <w:rsid w:val="00362A7F"/>
    <w:rsid w:val="00364A1E"/>
    <w:rsid w:val="00366C9E"/>
    <w:rsid w:val="00367BAE"/>
    <w:rsid w:val="00367F6C"/>
    <w:rsid w:val="00373625"/>
    <w:rsid w:val="00377C75"/>
    <w:rsid w:val="0038140F"/>
    <w:rsid w:val="0038560F"/>
    <w:rsid w:val="003868AB"/>
    <w:rsid w:val="00390E83"/>
    <w:rsid w:val="003962B1"/>
    <w:rsid w:val="00397BB1"/>
    <w:rsid w:val="003A077A"/>
    <w:rsid w:val="003A0EF8"/>
    <w:rsid w:val="003A363D"/>
    <w:rsid w:val="003A6896"/>
    <w:rsid w:val="003B5EE2"/>
    <w:rsid w:val="003C0869"/>
    <w:rsid w:val="003C1F4A"/>
    <w:rsid w:val="003C29E4"/>
    <w:rsid w:val="003C372E"/>
    <w:rsid w:val="003C38FB"/>
    <w:rsid w:val="003C462F"/>
    <w:rsid w:val="003C47FF"/>
    <w:rsid w:val="003C5279"/>
    <w:rsid w:val="003C5A09"/>
    <w:rsid w:val="003C71CE"/>
    <w:rsid w:val="003C71F7"/>
    <w:rsid w:val="003C7F71"/>
    <w:rsid w:val="003D073D"/>
    <w:rsid w:val="003D6D9D"/>
    <w:rsid w:val="003D73D1"/>
    <w:rsid w:val="003E2BF9"/>
    <w:rsid w:val="003E553B"/>
    <w:rsid w:val="003E6DE9"/>
    <w:rsid w:val="003F46B4"/>
    <w:rsid w:val="004002C7"/>
    <w:rsid w:val="004013FA"/>
    <w:rsid w:val="00404CEE"/>
    <w:rsid w:val="004057F0"/>
    <w:rsid w:val="00405D3C"/>
    <w:rsid w:val="00407DBA"/>
    <w:rsid w:val="00411AA0"/>
    <w:rsid w:val="00411ECC"/>
    <w:rsid w:val="00412569"/>
    <w:rsid w:val="004133D7"/>
    <w:rsid w:val="0041398A"/>
    <w:rsid w:val="00415E59"/>
    <w:rsid w:val="004230C7"/>
    <w:rsid w:val="00426C20"/>
    <w:rsid w:val="00430B8D"/>
    <w:rsid w:val="004339E7"/>
    <w:rsid w:val="0043454B"/>
    <w:rsid w:val="004400EE"/>
    <w:rsid w:val="0044122D"/>
    <w:rsid w:val="004460CE"/>
    <w:rsid w:val="00447255"/>
    <w:rsid w:val="00447272"/>
    <w:rsid w:val="00454292"/>
    <w:rsid w:val="004576AB"/>
    <w:rsid w:val="00463F1E"/>
    <w:rsid w:val="00464A67"/>
    <w:rsid w:val="0046637D"/>
    <w:rsid w:val="0047181F"/>
    <w:rsid w:val="00471E26"/>
    <w:rsid w:val="00472BAF"/>
    <w:rsid w:val="00475375"/>
    <w:rsid w:val="00485F04"/>
    <w:rsid w:val="00490DE5"/>
    <w:rsid w:val="004914DF"/>
    <w:rsid w:val="00492954"/>
    <w:rsid w:val="0049463F"/>
    <w:rsid w:val="004958E2"/>
    <w:rsid w:val="00495D5D"/>
    <w:rsid w:val="004A16F1"/>
    <w:rsid w:val="004A22B1"/>
    <w:rsid w:val="004A2C17"/>
    <w:rsid w:val="004A3473"/>
    <w:rsid w:val="004A4508"/>
    <w:rsid w:val="004A4E2F"/>
    <w:rsid w:val="004A55EA"/>
    <w:rsid w:val="004A6F2B"/>
    <w:rsid w:val="004B1D01"/>
    <w:rsid w:val="004B3719"/>
    <w:rsid w:val="004B5243"/>
    <w:rsid w:val="004B7849"/>
    <w:rsid w:val="004C042F"/>
    <w:rsid w:val="004C16ED"/>
    <w:rsid w:val="004C220A"/>
    <w:rsid w:val="004C3BA3"/>
    <w:rsid w:val="004C55B5"/>
    <w:rsid w:val="004C6220"/>
    <w:rsid w:val="004C7697"/>
    <w:rsid w:val="004D159A"/>
    <w:rsid w:val="004D1C07"/>
    <w:rsid w:val="004D42D5"/>
    <w:rsid w:val="004D7131"/>
    <w:rsid w:val="004E00AF"/>
    <w:rsid w:val="004E42EF"/>
    <w:rsid w:val="004E484A"/>
    <w:rsid w:val="004E6DE6"/>
    <w:rsid w:val="004F1313"/>
    <w:rsid w:val="004F18AB"/>
    <w:rsid w:val="004F1CAD"/>
    <w:rsid w:val="004F1F1C"/>
    <w:rsid w:val="004F4834"/>
    <w:rsid w:val="004F543D"/>
    <w:rsid w:val="004F77A6"/>
    <w:rsid w:val="00500108"/>
    <w:rsid w:val="00500F58"/>
    <w:rsid w:val="005028B6"/>
    <w:rsid w:val="00503B9A"/>
    <w:rsid w:val="00505C96"/>
    <w:rsid w:val="00507F87"/>
    <w:rsid w:val="00510F64"/>
    <w:rsid w:val="00511B0A"/>
    <w:rsid w:val="00511EFD"/>
    <w:rsid w:val="00512024"/>
    <w:rsid w:val="0052187B"/>
    <w:rsid w:val="00525B03"/>
    <w:rsid w:val="00526207"/>
    <w:rsid w:val="00526B82"/>
    <w:rsid w:val="00527605"/>
    <w:rsid w:val="005278EE"/>
    <w:rsid w:val="00531BD4"/>
    <w:rsid w:val="00541F2E"/>
    <w:rsid w:val="00544728"/>
    <w:rsid w:val="00546191"/>
    <w:rsid w:val="0054697A"/>
    <w:rsid w:val="00547B52"/>
    <w:rsid w:val="00547C2A"/>
    <w:rsid w:val="00551A7A"/>
    <w:rsid w:val="00556ECD"/>
    <w:rsid w:val="00561165"/>
    <w:rsid w:val="005629FB"/>
    <w:rsid w:val="00571462"/>
    <w:rsid w:val="00571D1A"/>
    <w:rsid w:val="00574851"/>
    <w:rsid w:val="00584518"/>
    <w:rsid w:val="00584D16"/>
    <w:rsid w:val="00586D6A"/>
    <w:rsid w:val="00587550"/>
    <w:rsid w:val="005912DF"/>
    <w:rsid w:val="005A142F"/>
    <w:rsid w:val="005B1D4C"/>
    <w:rsid w:val="005B29CA"/>
    <w:rsid w:val="005B2BC5"/>
    <w:rsid w:val="005B3244"/>
    <w:rsid w:val="005B61E3"/>
    <w:rsid w:val="005C0B2D"/>
    <w:rsid w:val="005C4A3B"/>
    <w:rsid w:val="005C6B89"/>
    <w:rsid w:val="005D1824"/>
    <w:rsid w:val="005D1B80"/>
    <w:rsid w:val="005D79C8"/>
    <w:rsid w:val="005E0605"/>
    <w:rsid w:val="005E0E85"/>
    <w:rsid w:val="005E2042"/>
    <w:rsid w:val="005E2F43"/>
    <w:rsid w:val="005E30D4"/>
    <w:rsid w:val="005E3881"/>
    <w:rsid w:val="005E421F"/>
    <w:rsid w:val="005E46D8"/>
    <w:rsid w:val="005E5181"/>
    <w:rsid w:val="005E5FF8"/>
    <w:rsid w:val="005F064F"/>
    <w:rsid w:val="005F3D0B"/>
    <w:rsid w:val="005F40B9"/>
    <w:rsid w:val="005F661E"/>
    <w:rsid w:val="00600D5A"/>
    <w:rsid w:val="006018B3"/>
    <w:rsid w:val="006023D5"/>
    <w:rsid w:val="00602BD4"/>
    <w:rsid w:val="00602CEB"/>
    <w:rsid w:val="006104D9"/>
    <w:rsid w:val="00611C21"/>
    <w:rsid w:val="00611C96"/>
    <w:rsid w:val="006131DB"/>
    <w:rsid w:val="006148AB"/>
    <w:rsid w:val="00617045"/>
    <w:rsid w:val="00620411"/>
    <w:rsid w:val="00625647"/>
    <w:rsid w:val="00631153"/>
    <w:rsid w:val="00632665"/>
    <w:rsid w:val="0064192D"/>
    <w:rsid w:val="006423C5"/>
    <w:rsid w:val="00643ECD"/>
    <w:rsid w:val="006477B5"/>
    <w:rsid w:val="00655B4B"/>
    <w:rsid w:val="0065658F"/>
    <w:rsid w:val="006641A7"/>
    <w:rsid w:val="00666436"/>
    <w:rsid w:val="00666AD8"/>
    <w:rsid w:val="00672406"/>
    <w:rsid w:val="006818C8"/>
    <w:rsid w:val="006861B9"/>
    <w:rsid w:val="00686369"/>
    <w:rsid w:val="0068641A"/>
    <w:rsid w:val="00687752"/>
    <w:rsid w:val="00692276"/>
    <w:rsid w:val="00693060"/>
    <w:rsid w:val="006964B2"/>
    <w:rsid w:val="006A5E5D"/>
    <w:rsid w:val="006A72BB"/>
    <w:rsid w:val="006B4387"/>
    <w:rsid w:val="006B4D4F"/>
    <w:rsid w:val="006B6238"/>
    <w:rsid w:val="006B7519"/>
    <w:rsid w:val="006C1684"/>
    <w:rsid w:val="006C6F23"/>
    <w:rsid w:val="006D27B0"/>
    <w:rsid w:val="006D2BE4"/>
    <w:rsid w:val="006D63DE"/>
    <w:rsid w:val="006D6F1E"/>
    <w:rsid w:val="006D7078"/>
    <w:rsid w:val="006D7E43"/>
    <w:rsid w:val="006E3347"/>
    <w:rsid w:val="006E4F0C"/>
    <w:rsid w:val="006E5C13"/>
    <w:rsid w:val="006E676E"/>
    <w:rsid w:val="006F3667"/>
    <w:rsid w:val="00700CC3"/>
    <w:rsid w:val="007021D6"/>
    <w:rsid w:val="007021EF"/>
    <w:rsid w:val="007038EB"/>
    <w:rsid w:val="00710054"/>
    <w:rsid w:val="00710202"/>
    <w:rsid w:val="00710349"/>
    <w:rsid w:val="0071053E"/>
    <w:rsid w:val="007156B8"/>
    <w:rsid w:val="00723582"/>
    <w:rsid w:val="0072378F"/>
    <w:rsid w:val="00726C80"/>
    <w:rsid w:val="007270E7"/>
    <w:rsid w:val="0073196D"/>
    <w:rsid w:val="00731F07"/>
    <w:rsid w:val="007335EF"/>
    <w:rsid w:val="00733706"/>
    <w:rsid w:val="0073463F"/>
    <w:rsid w:val="007379AC"/>
    <w:rsid w:val="00740AE1"/>
    <w:rsid w:val="00744212"/>
    <w:rsid w:val="007509E4"/>
    <w:rsid w:val="00751AD9"/>
    <w:rsid w:val="00751D8A"/>
    <w:rsid w:val="0075268D"/>
    <w:rsid w:val="00760F41"/>
    <w:rsid w:val="007640A1"/>
    <w:rsid w:val="00773DE9"/>
    <w:rsid w:val="00774225"/>
    <w:rsid w:val="00774D89"/>
    <w:rsid w:val="007801AD"/>
    <w:rsid w:val="00781174"/>
    <w:rsid w:val="00781399"/>
    <w:rsid w:val="00784A05"/>
    <w:rsid w:val="00784D95"/>
    <w:rsid w:val="00784F8D"/>
    <w:rsid w:val="007863EF"/>
    <w:rsid w:val="00786FEC"/>
    <w:rsid w:val="00790328"/>
    <w:rsid w:val="00790C2E"/>
    <w:rsid w:val="0079141A"/>
    <w:rsid w:val="00792E75"/>
    <w:rsid w:val="0079403E"/>
    <w:rsid w:val="00794320"/>
    <w:rsid w:val="00794C73"/>
    <w:rsid w:val="00795F79"/>
    <w:rsid w:val="0079718A"/>
    <w:rsid w:val="007A25D9"/>
    <w:rsid w:val="007A29E2"/>
    <w:rsid w:val="007A2DA4"/>
    <w:rsid w:val="007A6F03"/>
    <w:rsid w:val="007B3393"/>
    <w:rsid w:val="007B6FB7"/>
    <w:rsid w:val="007C1220"/>
    <w:rsid w:val="007C29FB"/>
    <w:rsid w:val="007C3F84"/>
    <w:rsid w:val="007C5532"/>
    <w:rsid w:val="007C6C61"/>
    <w:rsid w:val="007C737C"/>
    <w:rsid w:val="007D14BC"/>
    <w:rsid w:val="007D769F"/>
    <w:rsid w:val="007E10B9"/>
    <w:rsid w:val="007E3E47"/>
    <w:rsid w:val="007E5AB5"/>
    <w:rsid w:val="007E6AD9"/>
    <w:rsid w:val="007E6D46"/>
    <w:rsid w:val="007E7454"/>
    <w:rsid w:val="007F05B3"/>
    <w:rsid w:val="008010E3"/>
    <w:rsid w:val="00805EC7"/>
    <w:rsid w:val="008071A1"/>
    <w:rsid w:val="00810F9F"/>
    <w:rsid w:val="0081650F"/>
    <w:rsid w:val="008236D7"/>
    <w:rsid w:val="00824930"/>
    <w:rsid w:val="00827733"/>
    <w:rsid w:val="008309A7"/>
    <w:rsid w:val="00831C65"/>
    <w:rsid w:val="00832FA5"/>
    <w:rsid w:val="00834500"/>
    <w:rsid w:val="00837190"/>
    <w:rsid w:val="008378A0"/>
    <w:rsid w:val="00841DE7"/>
    <w:rsid w:val="00842FCE"/>
    <w:rsid w:val="008443E3"/>
    <w:rsid w:val="0084645E"/>
    <w:rsid w:val="008466AE"/>
    <w:rsid w:val="00847A1D"/>
    <w:rsid w:val="008533D1"/>
    <w:rsid w:val="00854A49"/>
    <w:rsid w:val="0085696C"/>
    <w:rsid w:val="00861DED"/>
    <w:rsid w:val="00864713"/>
    <w:rsid w:val="00870DF9"/>
    <w:rsid w:val="00872B8A"/>
    <w:rsid w:val="00873131"/>
    <w:rsid w:val="00873310"/>
    <w:rsid w:val="00873E9D"/>
    <w:rsid w:val="0087603B"/>
    <w:rsid w:val="0088060D"/>
    <w:rsid w:val="00881BE0"/>
    <w:rsid w:val="00885A43"/>
    <w:rsid w:val="008871D3"/>
    <w:rsid w:val="00887EF2"/>
    <w:rsid w:val="00891018"/>
    <w:rsid w:val="00892CB7"/>
    <w:rsid w:val="008944B6"/>
    <w:rsid w:val="00895013"/>
    <w:rsid w:val="00895D70"/>
    <w:rsid w:val="008A1B38"/>
    <w:rsid w:val="008A1B89"/>
    <w:rsid w:val="008A26B0"/>
    <w:rsid w:val="008A3B81"/>
    <w:rsid w:val="008A6214"/>
    <w:rsid w:val="008B140D"/>
    <w:rsid w:val="008B19B5"/>
    <w:rsid w:val="008B31FC"/>
    <w:rsid w:val="008B3F72"/>
    <w:rsid w:val="008B5E08"/>
    <w:rsid w:val="008C12B2"/>
    <w:rsid w:val="008C330C"/>
    <w:rsid w:val="008C43DB"/>
    <w:rsid w:val="008C5562"/>
    <w:rsid w:val="008C55F1"/>
    <w:rsid w:val="008C675F"/>
    <w:rsid w:val="008C735B"/>
    <w:rsid w:val="008D0E07"/>
    <w:rsid w:val="008D28BD"/>
    <w:rsid w:val="008D4F37"/>
    <w:rsid w:val="008D79CF"/>
    <w:rsid w:val="008E1AAB"/>
    <w:rsid w:val="008E1D4C"/>
    <w:rsid w:val="008E3E94"/>
    <w:rsid w:val="008E4E2B"/>
    <w:rsid w:val="008E57C4"/>
    <w:rsid w:val="008E7FB8"/>
    <w:rsid w:val="008F36A1"/>
    <w:rsid w:val="008F7308"/>
    <w:rsid w:val="009024A2"/>
    <w:rsid w:val="00902A4C"/>
    <w:rsid w:val="009032D9"/>
    <w:rsid w:val="00914943"/>
    <w:rsid w:val="00920951"/>
    <w:rsid w:val="00923298"/>
    <w:rsid w:val="00924417"/>
    <w:rsid w:val="009262B0"/>
    <w:rsid w:val="00937449"/>
    <w:rsid w:val="009412C9"/>
    <w:rsid w:val="00943AA2"/>
    <w:rsid w:val="00943B89"/>
    <w:rsid w:val="0094523D"/>
    <w:rsid w:val="00947CF4"/>
    <w:rsid w:val="009518DA"/>
    <w:rsid w:val="00951FF1"/>
    <w:rsid w:val="00952D9D"/>
    <w:rsid w:val="00953C1B"/>
    <w:rsid w:val="009542E7"/>
    <w:rsid w:val="00956695"/>
    <w:rsid w:val="0095683B"/>
    <w:rsid w:val="0096066B"/>
    <w:rsid w:val="009659EC"/>
    <w:rsid w:val="00967593"/>
    <w:rsid w:val="0096760A"/>
    <w:rsid w:val="009705F3"/>
    <w:rsid w:val="00974827"/>
    <w:rsid w:val="00975EC2"/>
    <w:rsid w:val="00980EA8"/>
    <w:rsid w:val="009833AC"/>
    <w:rsid w:val="009842C7"/>
    <w:rsid w:val="0099160B"/>
    <w:rsid w:val="00992458"/>
    <w:rsid w:val="0099268B"/>
    <w:rsid w:val="00992811"/>
    <w:rsid w:val="00992A64"/>
    <w:rsid w:val="00993627"/>
    <w:rsid w:val="009A0EC6"/>
    <w:rsid w:val="009A18DE"/>
    <w:rsid w:val="009A54EE"/>
    <w:rsid w:val="009A7C95"/>
    <w:rsid w:val="009A7DA3"/>
    <w:rsid w:val="009A7FC8"/>
    <w:rsid w:val="009B08F2"/>
    <w:rsid w:val="009B10DD"/>
    <w:rsid w:val="009B2BA1"/>
    <w:rsid w:val="009B42DE"/>
    <w:rsid w:val="009B54B9"/>
    <w:rsid w:val="009C1A54"/>
    <w:rsid w:val="009C26A7"/>
    <w:rsid w:val="009C370C"/>
    <w:rsid w:val="009C4E99"/>
    <w:rsid w:val="009D1760"/>
    <w:rsid w:val="009D3A73"/>
    <w:rsid w:val="009D680A"/>
    <w:rsid w:val="009D7E04"/>
    <w:rsid w:val="009E154C"/>
    <w:rsid w:val="009E1A83"/>
    <w:rsid w:val="009E6316"/>
    <w:rsid w:val="009E788B"/>
    <w:rsid w:val="009F0433"/>
    <w:rsid w:val="009F0B8E"/>
    <w:rsid w:val="009F3473"/>
    <w:rsid w:val="009F45A6"/>
    <w:rsid w:val="009F6A13"/>
    <w:rsid w:val="00A03155"/>
    <w:rsid w:val="00A04657"/>
    <w:rsid w:val="00A0622D"/>
    <w:rsid w:val="00A101ED"/>
    <w:rsid w:val="00A11B55"/>
    <w:rsid w:val="00A11F38"/>
    <w:rsid w:val="00A12E67"/>
    <w:rsid w:val="00A13F14"/>
    <w:rsid w:val="00A20B0D"/>
    <w:rsid w:val="00A2280B"/>
    <w:rsid w:val="00A2431E"/>
    <w:rsid w:val="00A249A5"/>
    <w:rsid w:val="00A30655"/>
    <w:rsid w:val="00A30F2F"/>
    <w:rsid w:val="00A34CCD"/>
    <w:rsid w:val="00A42387"/>
    <w:rsid w:val="00A44958"/>
    <w:rsid w:val="00A47870"/>
    <w:rsid w:val="00A47B4B"/>
    <w:rsid w:val="00A47EB0"/>
    <w:rsid w:val="00A50324"/>
    <w:rsid w:val="00A50BB6"/>
    <w:rsid w:val="00A577ED"/>
    <w:rsid w:val="00A605BF"/>
    <w:rsid w:val="00A6324E"/>
    <w:rsid w:val="00A71C3D"/>
    <w:rsid w:val="00A752BC"/>
    <w:rsid w:val="00A8015F"/>
    <w:rsid w:val="00A80488"/>
    <w:rsid w:val="00A80C90"/>
    <w:rsid w:val="00A81563"/>
    <w:rsid w:val="00A821DC"/>
    <w:rsid w:val="00A82528"/>
    <w:rsid w:val="00A8525E"/>
    <w:rsid w:val="00A8720D"/>
    <w:rsid w:val="00A908FD"/>
    <w:rsid w:val="00A927B5"/>
    <w:rsid w:val="00A953C6"/>
    <w:rsid w:val="00A973E1"/>
    <w:rsid w:val="00A97DC9"/>
    <w:rsid w:val="00AA7204"/>
    <w:rsid w:val="00AA72B3"/>
    <w:rsid w:val="00AB05F4"/>
    <w:rsid w:val="00AB0635"/>
    <w:rsid w:val="00AB0B50"/>
    <w:rsid w:val="00AB1B3A"/>
    <w:rsid w:val="00AB1B45"/>
    <w:rsid w:val="00AB256B"/>
    <w:rsid w:val="00AB48F1"/>
    <w:rsid w:val="00AB7744"/>
    <w:rsid w:val="00AB7A16"/>
    <w:rsid w:val="00AC0202"/>
    <w:rsid w:val="00AC1F1B"/>
    <w:rsid w:val="00AC37D6"/>
    <w:rsid w:val="00AC383B"/>
    <w:rsid w:val="00AD319E"/>
    <w:rsid w:val="00AD3CB1"/>
    <w:rsid w:val="00AD40DA"/>
    <w:rsid w:val="00AD479F"/>
    <w:rsid w:val="00AE217F"/>
    <w:rsid w:val="00AE3780"/>
    <w:rsid w:val="00AE6C98"/>
    <w:rsid w:val="00AE779A"/>
    <w:rsid w:val="00AF2749"/>
    <w:rsid w:val="00AF3019"/>
    <w:rsid w:val="00AF44B2"/>
    <w:rsid w:val="00AF5D5A"/>
    <w:rsid w:val="00B029BB"/>
    <w:rsid w:val="00B03210"/>
    <w:rsid w:val="00B04C37"/>
    <w:rsid w:val="00B06C5B"/>
    <w:rsid w:val="00B119FA"/>
    <w:rsid w:val="00B149F0"/>
    <w:rsid w:val="00B157F3"/>
    <w:rsid w:val="00B16647"/>
    <w:rsid w:val="00B16E95"/>
    <w:rsid w:val="00B17C7D"/>
    <w:rsid w:val="00B22AD3"/>
    <w:rsid w:val="00B26A9B"/>
    <w:rsid w:val="00B27BF9"/>
    <w:rsid w:val="00B31B0A"/>
    <w:rsid w:val="00B3467E"/>
    <w:rsid w:val="00B350F8"/>
    <w:rsid w:val="00B454CC"/>
    <w:rsid w:val="00B460B4"/>
    <w:rsid w:val="00B46114"/>
    <w:rsid w:val="00B54F58"/>
    <w:rsid w:val="00B567D4"/>
    <w:rsid w:val="00B60327"/>
    <w:rsid w:val="00B6107E"/>
    <w:rsid w:val="00B613CD"/>
    <w:rsid w:val="00B6351C"/>
    <w:rsid w:val="00B64635"/>
    <w:rsid w:val="00B72387"/>
    <w:rsid w:val="00B81B3E"/>
    <w:rsid w:val="00B84EDD"/>
    <w:rsid w:val="00B85368"/>
    <w:rsid w:val="00B85E34"/>
    <w:rsid w:val="00B911AE"/>
    <w:rsid w:val="00B92FA5"/>
    <w:rsid w:val="00B94536"/>
    <w:rsid w:val="00BA00FC"/>
    <w:rsid w:val="00BA0798"/>
    <w:rsid w:val="00BA0DDB"/>
    <w:rsid w:val="00BA1532"/>
    <w:rsid w:val="00BA2365"/>
    <w:rsid w:val="00BA23AD"/>
    <w:rsid w:val="00BA322E"/>
    <w:rsid w:val="00BA503F"/>
    <w:rsid w:val="00BA7134"/>
    <w:rsid w:val="00BB1164"/>
    <w:rsid w:val="00BB15D6"/>
    <w:rsid w:val="00BB1EFD"/>
    <w:rsid w:val="00BB5348"/>
    <w:rsid w:val="00BC7214"/>
    <w:rsid w:val="00BD1349"/>
    <w:rsid w:val="00BD1A9A"/>
    <w:rsid w:val="00BD1DF3"/>
    <w:rsid w:val="00BD4EFE"/>
    <w:rsid w:val="00BE11AC"/>
    <w:rsid w:val="00BE2093"/>
    <w:rsid w:val="00BE4D13"/>
    <w:rsid w:val="00BE7216"/>
    <w:rsid w:val="00BF0E1B"/>
    <w:rsid w:val="00BF10CD"/>
    <w:rsid w:val="00BF36B0"/>
    <w:rsid w:val="00BF46AE"/>
    <w:rsid w:val="00BF5AE7"/>
    <w:rsid w:val="00BF5B6C"/>
    <w:rsid w:val="00BF70F7"/>
    <w:rsid w:val="00BF7696"/>
    <w:rsid w:val="00C00557"/>
    <w:rsid w:val="00C03DC1"/>
    <w:rsid w:val="00C10A7B"/>
    <w:rsid w:val="00C1110A"/>
    <w:rsid w:val="00C11335"/>
    <w:rsid w:val="00C13CFD"/>
    <w:rsid w:val="00C154D6"/>
    <w:rsid w:val="00C22223"/>
    <w:rsid w:val="00C2497D"/>
    <w:rsid w:val="00C24F4F"/>
    <w:rsid w:val="00C26C94"/>
    <w:rsid w:val="00C26D28"/>
    <w:rsid w:val="00C27219"/>
    <w:rsid w:val="00C325AD"/>
    <w:rsid w:val="00C369D1"/>
    <w:rsid w:val="00C41C8B"/>
    <w:rsid w:val="00C44AB0"/>
    <w:rsid w:val="00C46ABE"/>
    <w:rsid w:val="00C4775D"/>
    <w:rsid w:val="00C50461"/>
    <w:rsid w:val="00C50ADD"/>
    <w:rsid w:val="00C525F4"/>
    <w:rsid w:val="00C53589"/>
    <w:rsid w:val="00C57249"/>
    <w:rsid w:val="00C60285"/>
    <w:rsid w:val="00C60512"/>
    <w:rsid w:val="00C659CE"/>
    <w:rsid w:val="00C65D89"/>
    <w:rsid w:val="00C7050F"/>
    <w:rsid w:val="00C70B24"/>
    <w:rsid w:val="00C70DA7"/>
    <w:rsid w:val="00C725BC"/>
    <w:rsid w:val="00C738AE"/>
    <w:rsid w:val="00C82A81"/>
    <w:rsid w:val="00C8447C"/>
    <w:rsid w:val="00C84633"/>
    <w:rsid w:val="00C85DD3"/>
    <w:rsid w:val="00C86B5A"/>
    <w:rsid w:val="00C9031E"/>
    <w:rsid w:val="00C928A2"/>
    <w:rsid w:val="00C972BA"/>
    <w:rsid w:val="00CA1F21"/>
    <w:rsid w:val="00CA1FD7"/>
    <w:rsid w:val="00CA2029"/>
    <w:rsid w:val="00CA3AD3"/>
    <w:rsid w:val="00CA4A9F"/>
    <w:rsid w:val="00CA51E5"/>
    <w:rsid w:val="00CA7CAF"/>
    <w:rsid w:val="00CB1C5B"/>
    <w:rsid w:val="00CB53A7"/>
    <w:rsid w:val="00CB6937"/>
    <w:rsid w:val="00CC15D6"/>
    <w:rsid w:val="00CC232E"/>
    <w:rsid w:val="00CC24BA"/>
    <w:rsid w:val="00CC47A8"/>
    <w:rsid w:val="00CC4FB0"/>
    <w:rsid w:val="00CC6E23"/>
    <w:rsid w:val="00CC70E4"/>
    <w:rsid w:val="00CC78C2"/>
    <w:rsid w:val="00CD4065"/>
    <w:rsid w:val="00CD4A68"/>
    <w:rsid w:val="00CD4EBE"/>
    <w:rsid w:val="00CD7AEF"/>
    <w:rsid w:val="00CE01DA"/>
    <w:rsid w:val="00CE08A9"/>
    <w:rsid w:val="00CE0F35"/>
    <w:rsid w:val="00CE100F"/>
    <w:rsid w:val="00CE13C9"/>
    <w:rsid w:val="00CE4F35"/>
    <w:rsid w:val="00CE6E48"/>
    <w:rsid w:val="00CE7827"/>
    <w:rsid w:val="00CF3809"/>
    <w:rsid w:val="00CF5552"/>
    <w:rsid w:val="00CF6259"/>
    <w:rsid w:val="00D017F9"/>
    <w:rsid w:val="00D020F4"/>
    <w:rsid w:val="00D04393"/>
    <w:rsid w:val="00D05756"/>
    <w:rsid w:val="00D07770"/>
    <w:rsid w:val="00D07A9C"/>
    <w:rsid w:val="00D133F2"/>
    <w:rsid w:val="00D14F63"/>
    <w:rsid w:val="00D157F1"/>
    <w:rsid w:val="00D15A06"/>
    <w:rsid w:val="00D16072"/>
    <w:rsid w:val="00D171C2"/>
    <w:rsid w:val="00D25B8F"/>
    <w:rsid w:val="00D32F0A"/>
    <w:rsid w:val="00D33323"/>
    <w:rsid w:val="00D34545"/>
    <w:rsid w:val="00D35544"/>
    <w:rsid w:val="00D407BD"/>
    <w:rsid w:val="00D41D96"/>
    <w:rsid w:val="00D45637"/>
    <w:rsid w:val="00D45D9D"/>
    <w:rsid w:val="00D541A7"/>
    <w:rsid w:val="00D612F6"/>
    <w:rsid w:val="00D65A7E"/>
    <w:rsid w:val="00D66B3C"/>
    <w:rsid w:val="00D66FF5"/>
    <w:rsid w:val="00D74B7C"/>
    <w:rsid w:val="00D7704B"/>
    <w:rsid w:val="00D81CD3"/>
    <w:rsid w:val="00D81FDD"/>
    <w:rsid w:val="00D82488"/>
    <w:rsid w:val="00D8589E"/>
    <w:rsid w:val="00D863C3"/>
    <w:rsid w:val="00D92C29"/>
    <w:rsid w:val="00D94F38"/>
    <w:rsid w:val="00D96800"/>
    <w:rsid w:val="00DA21B4"/>
    <w:rsid w:val="00DA4D91"/>
    <w:rsid w:val="00DA549F"/>
    <w:rsid w:val="00DA699A"/>
    <w:rsid w:val="00DB2943"/>
    <w:rsid w:val="00DC1AF7"/>
    <w:rsid w:val="00DC563F"/>
    <w:rsid w:val="00DC65D7"/>
    <w:rsid w:val="00DD426E"/>
    <w:rsid w:val="00DD55F4"/>
    <w:rsid w:val="00DD5D76"/>
    <w:rsid w:val="00DE0026"/>
    <w:rsid w:val="00DE0CF2"/>
    <w:rsid w:val="00DE1586"/>
    <w:rsid w:val="00DE54CC"/>
    <w:rsid w:val="00DE731C"/>
    <w:rsid w:val="00DF0344"/>
    <w:rsid w:val="00DF36AA"/>
    <w:rsid w:val="00DF3E04"/>
    <w:rsid w:val="00DF4155"/>
    <w:rsid w:val="00DF4B2F"/>
    <w:rsid w:val="00E01A9B"/>
    <w:rsid w:val="00E05161"/>
    <w:rsid w:val="00E0563F"/>
    <w:rsid w:val="00E05B7B"/>
    <w:rsid w:val="00E071B8"/>
    <w:rsid w:val="00E1009A"/>
    <w:rsid w:val="00E1071E"/>
    <w:rsid w:val="00E12167"/>
    <w:rsid w:val="00E12824"/>
    <w:rsid w:val="00E15CC7"/>
    <w:rsid w:val="00E17D0D"/>
    <w:rsid w:val="00E260C8"/>
    <w:rsid w:val="00E27001"/>
    <w:rsid w:val="00E27C70"/>
    <w:rsid w:val="00E3401B"/>
    <w:rsid w:val="00E352F9"/>
    <w:rsid w:val="00E40D21"/>
    <w:rsid w:val="00E416C7"/>
    <w:rsid w:val="00E470BC"/>
    <w:rsid w:val="00E515AD"/>
    <w:rsid w:val="00E52F4C"/>
    <w:rsid w:val="00E5596F"/>
    <w:rsid w:val="00E55CE1"/>
    <w:rsid w:val="00E56820"/>
    <w:rsid w:val="00E568BF"/>
    <w:rsid w:val="00E617B9"/>
    <w:rsid w:val="00E62AB9"/>
    <w:rsid w:val="00E66EEF"/>
    <w:rsid w:val="00E716E4"/>
    <w:rsid w:val="00E74D5C"/>
    <w:rsid w:val="00E76257"/>
    <w:rsid w:val="00E77E67"/>
    <w:rsid w:val="00E803C7"/>
    <w:rsid w:val="00E81039"/>
    <w:rsid w:val="00E83E4F"/>
    <w:rsid w:val="00E85D6C"/>
    <w:rsid w:val="00E935A4"/>
    <w:rsid w:val="00E943BB"/>
    <w:rsid w:val="00EA0D2F"/>
    <w:rsid w:val="00EA1D85"/>
    <w:rsid w:val="00EA34EF"/>
    <w:rsid w:val="00EA4B7D"/>
    <w:rsid w:val="00EA67E8"/>
    <w:rsid w:val="00EA6976"/>
    <w:rsid w:val="00EB130D"/>
    <w:rsid w:val="00EC1344"/>
    <w:rsid w:val="00EC4CF4"/>
    <w:rsid w:val="00EC7235"/>
    <w:rsid w:val="00ED35A4"/>
    <w:rsid w:val="00ED379F"/>
    <w:rsid w:val="00ED5AF3"/>
    <w:rsid w:val="00EE11A0"/>
    <w:rsid w:val="00EE2A79"/>
    <w:rsid w:val="00EE43B5"/>
    <w:rsid w:val="00EE54A0"/>
    <w:rsid w:val="00EF01C8"/>
    <w:rsid w:val="00EF0282"/>
    <w:rsid w:val="00EF0FFB"/>
    <w:rsid w:val="00EF36C1"/>
    <w:rsid w:val="00EF432B"/>
    <w:rsid w:val="00EF5A7E"/>
    <w:rsid w:val="00EF708D"/>
    <w:rsid w:val="00EF73DC"/>
    <w:rsid w:val="00F000CD"/>
    <w:rsid w:val="00F01E02"/>
    <w:rsid w:val="00F02CB8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16024"/>
    <w:rsid w:val="00F173A3"/>
    <w:rsid w:val="00F2008B"/>
    <w:rsid w:val="00F228D6"/>
    <w:rsid w:val="00F24C72"/>
    <w:rsid w:val="00F275D3"/>
    <w:rsid w:val="00F33244"/>
    <w:rsid w:val="00F34D32"/>
    <w:rsid w:val="00F369ED"/>
    <w:rsid w:val="00F376A4"/>
    <w:rsid w:val="00F40BC6"/>
    <w:rsid w:val="00F43BAA"/>
    <w:rsid w:val="00F47186"/>
    <w:rsid w:val="00F51878"/>
    <w:rsid w:val="00F6020C"/>
    <w:rsid w:val="00F60A43"/>
    <w:rsid w:val="00F60D63"/>
    <w:rsid w:val="00F61704"/>
    <w:rsid w:val="00F63BF2"/>
    <w:rsid w:val="00F6532C"/>
    <w:rsid w:val="00F65546"/>
    <w:rsid w:val="00F67099"/>
    <w:rsid w:val="00F7289A"/>
    <w:rsid w:val="00F74BF8"/>
    <w:rsid w:val="00F77D73"/>
    <w:rsid w:val="00F8041F"/>
    <w:rsid w:val="00F85F8C"/>
    <w:rsid w:val="00F8684D"/>
    <w:rsid w:val="00F877C5"/>
    <w:rsid w:val="00F916B6"/>
    <w:rsid w:val="00F940D3"/>
    <w:rsid w:val="00F9789B"/>
    <w:rsid w:val="00FA20BE"/>
    <w:rsid w:val="00FA39DD"/>
    <w:rsid w:val="00FA4780"/>
    <w:rsid w:val="00FA7D14"/>
    <w:rsid w:val="00FB0D75"/>
    <w:rsid w:val="00FB0FA7"/>
    <w:rsid w:val="00FB1326"/>
    <w:rsid w:val="00FB1511"/>
    <w:rsid w:val="00FB20ED"/>
    <w:rsid w:val="00FB627D"/>
    <w:rsid w:val="00FB7279"/>
    <w:rsid w:val="00FB769D"/>
    <w:rsid w:val="00FC23B8"/>
    <w:rsid w:val="00FC7052"/>
    <w:rsid w:val="00FD0BDA"/>
    <w:rsid w:val="00FD4A9C"/>
    <w:rsid w:val="00FD4C2C"/>
    <w:rsid w:val="00FE08FB"/>
    <w:rsid w:val="00FE0BBB"/>
    <w:rsid w:val="00FE1270"/>
    <w:rsid w:val="00FE213F"/>
    <w:rsid w:val="00FE44CC"/>
    <w:rsid w:val="00FE791D"/>
    <w:rsid w:val="00FF067A"/>
    <w:rsid w:val="00FF3B18"/>
    <w:rsid w:val="00FF3BFD"/>
    <w:rsid w:val="00FF5662"/>
    <w:rsid w:val="00FF5E3B"/>
    <w:rsid w:val="00FF6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85C4-6AF4-4235-ADC8-60489389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2020-01-14T13:58:00Z</cp:lastPrinted>
  <dcterms:created xsi:type="dcterms:W3CDTF">2020-07-05T08:55:00Z</dcterms:created>
  <dcterms:modified xsi:type="dcterms:W3CDTF">2020-07-05T08:55:00Z</dcterms:modified>
</cp:coreProperties>
</file>