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AC9" w:rsidRPr="00185DAB" w:rsidRDefault="00D10A22" w:rsidP="002D6AC9">
      <w:pPr>
        <w:spacing w:line="276" w:lineRule="auto"/>
        <w:jc w:val="both"/>
        <w:rPr>
          <w:rFonts w:ascii="Garamond" w:hAnsi="Garamond"/>
          <w:b/>
          <w:sz w:val="24"/>
          <w:szCs w:val="24"/>
        </w:rPr>
      </w:pPr>
      <w:r w:rsidRPr="00185DAB">
        <w:rPr>
          <w:rFonts w:ascii="Garamond" w:hAnsi="Garamond"/>
          <w:b/>
          <w:sz w:val="24"/>
          <w:szCs w:val="24"/>
        </w:rPr>
        <w:t>A/3</w:t>
      </w:r>
      <w:r w:rsidR="002D6AC9" w:rsidRPr="00185DAB">
        <w:rPr>
          <w:rFonts w:ascii="Garamond" w:hAnsi="Garamond"/>
          <w:b/>
          <w:sz w:val="24"/>
          <w:szCs w:val="24"/>
        </w:rPr>
        <w:t xml:space="preserve"> </w:t>
      </w:r>
    </w:p>
    <w:p w:rsidR="002D6AC9" w:rsidRPr="00185DAB" w:rsidRDefault="002D6AC9" w:rsidP="002D6AC9">
      <w:pPr>
        <w:spacing w:line="276" w:lineRule="auto"/>
        <w:jc w:val="both"/>
        <w:rPr>
          <w:rFonts w:ascii="Garamond" w:hAnsi="Garamond"/>
          <w:b/>
          <w:sz w:val="24"/>
          <w:szCs w:val="24"/>
        </w:rPr>
      </w:pPr>
      <w:r w:rsidRPr="00185DAB">
        <w:rPr>
          <w:rFonts w:ascii="Garamond" w:hAnsi="Garamond"/>
          <w:b/>
          <w:sz w:val="24"/>
          <w:szCs w:val="24"/>
        </w:rPr>
        <w:t xml:space="preserve">Tabella dei titoli valutabili per le graduatorie provinciali di I fascia per le supplenze del personale docente nella scuola secondaria di </w:t>
      </w:r>
      <w:r w:rsidR="00D10A22" w:rsidRPr="00185DAB">
        <w:rPr>
          <w:rFonts w:ascii="Garamond" w:hAnsi="Garamond"/>
          <w:b/>
          <w:sz w:val="24"/>
          <w:szCs w:val="24"/>
        </w:rPr>
        <w:t>primo e secondo</w:t>
      </w:r>
      <w:r w:rsidRPr="00185DAB">
        <w:rPr>
          <w:rFonts w:ascii="Garamond" w:hAnsi="Garamond"/>
          <w:b/>
          <w:sz w:val="24"/>
          <w:szCs w:val="24"/>
        </w:rPr>
        <w:t xml:space="preserve"> grado</w:t>
      </w:r>
    </w:p>
    <w:p w:rsidR="00DF36AA" w:rsidRPr="00185DAB" w:rsidRDefault="00DF36AA" w:rsidP="00DF36AA">
      <w:pPr>
        <w:rPr>
          <w:rFonts w:ascii="Garamond" w:hAnsi="Garamond"/>
          <w:sz w:val="24"/>
          <w:szCs w:val="24"/>
        </w:rPr>
      </w:pPr>
    </w:p>
    <w:tbl>
      <w:tblPr>
        <w:tblW w:w="87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/>
      </w:tblPr>
      <w:tblGrid>
        <w:gridCol w:w="983"/>
        <w:gridCol w:w="5964"/>
        <w:gridCol w:w="1753"/>
      </w:tblGrid>
      <w:tr w:rsidR="00F43588" w:rsidRPr="00185DAB" w:rsidTr="00F43588">
        <w:trPr>
          <w:trHeight w:val="300"/>
        </w:trPr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6D27B0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6D27B0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b/>
                <w:sz w:val="24"/>
                <w:szCs w:val="24"/>
              </w:rPr>
              <w:t>Tipologia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43588" w:rsidRPr="00185DAB" w:rsidRDefault="00F43588" w:rsidP="00AE6615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b/>
                <w:sz w:val="24"/>
                <w:szCs w:val="24"/>
              </w:rPr>
              <w:t>Punti</w:t>
            </w:r>
          </w:p>
        </w:tc>
      </w:tr>
      <w:tr w:rsidR="00F43588" w:rsidRPr="00185DAB" w:rsidTr="00F43588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6D27B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7C462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85DAB">
              <w:rPr>
                <w:rFonts w:ascii="Garamond" w:hAnsi="Garamond"/>
                <w:b/>
                <w:sz w:val="24"/>
                <w:szCs w:val="24"/>
              </w:rPr>
              <w:t>Titoli di accesso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43588" w:rsidRPr="00185DAB" w:rsidRDefault="00F43588" w:rsidP="005B1B29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F43588" w:rsidRPr="00185DAB" w:rsidTr="00F43588">
        <w:tc>
          <w:tcPr>
            <w:tcW w:w="983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582769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85DAB"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  <w:tc>
          <w:tcPr>
            <w:tcW w:w="5964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804DC7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85DAB">
              <w:rPr>
                <w:rFonts w:ascii="Garamond" w:hAnsi="Garamond"/>
                <w:b/>
                <w:sz w:val="24"/>
                <w:szCs w:val="24"/>
              </w:rPr>
              <w:t xml:space="preserve">Punteggio per il titolo di accesso alla graduatoria </w:t>
            </w:r>
          </w:p>
        </w:tc>
        <w:tc>
          <w:tcPr>
            <w:tcW w:w="1753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43588" w:rsidRPr="00185DAB" w:rsidRDefault="00F43588" w:rsidP="005B1B29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F43588" w:rsidRPr="00185DAB" w:rsidTr="00F43588">
        <w:tc>
          <w:tcPr>
            <w:tcW w:w="983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58276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A.1</w:t>
            </w:r>
          </w:p>
        </w:tc>
        <w:tc>
          <w:tcPr>
            <w:tcW w:w="5964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7C462B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Titolo abilitazione che costituisce titolo di accesso alla specifica classe di concorso secondo la normativa vigente o titolo di abilitazi</w:t>
            </w:r>
            <w:r w:rsidR="003256FE">
              <w:rPr>
                <w:rFonts w:ascii="Garamond" w:hAnsi="Garamond"/>
                <w:sz w:val="24"/>
                <w:szCs w:val="24"/>
              </w:rPr>
              <w:t>one conseguito all’estero valido</w:t>
            </w:r>
            <w:r w:rsidRPr="00185DAB">
              <w:rPr>
                <w:rFonts w:ascii="Garamond" w:hAnsi="Garamond"/>
                <w:sz w:val="24"/>
                <w:szCs w:val="24"/>
              </w:rPr>
              <w:t xml:space="preserve"> qual</w:t>
            </w:r>
            <w:r w:rsidR="003256FE">
              <w:rPr>
                <w:rFonts w:ascii="Garamond" w:hAnsi="Garamond"/>
                <w:sz w:val="24"/>
                <w:szCs w:val="24"/>
              </w:rPr>
              <w:t>e</w:t>
            </w:r>
            <w:r w:rsidRPr="00185DAB">
              <w:rPr>
                <w:rFonts w:ascii="Garamond" w:hAnsi="Garamond"/>
                <w:sz w:val="24"/>
                <w:szCs w:val="24"/>
              </w:rPr>
              <w:t xml:space="preserve"> abilitazioni nel Paese ove </w:t>
            </w:r>
            <w:r w:rsidR="003256FE">
              <w:rPr>
                <w:rFonts w:ascii="Garamond" w:hAnsi="Garamond"/>
                <w:sz w:val="24"/>
                <w:szCs w:val="24"/>
              </w:rPr>
              <w:t>è stato conseguito</w:t>
            </w:r>
            <w:r w:rsidRPr="00185DAB">
              <w:rPr>
                <w:rFonts w:ascii="Garamond" w:hAnsi="Garamond"/>
                <w:sz w:val="24"/>
                <w:szCs w:val="24"/>
              </w:rPr>
              <w:t xml:space="preserve"> e riconosciuto valido per la specifica classe di concorso ai sensi del decreto legislativo 9 novembre 2007, n. 206, sulla base del punteggio conseguito </w:t>
            </w:r>
          </w:p>
          <w:p w:rsidR="00F43588" w:rsidRPr="00185DAB" w:rsidRDefault="00F43588" w:rsidP="003E6AE2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753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43588" w:rsidRPr="00185DAB" w:rsidRDefault="00F43588" w:rsidP="007C462B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da 60 a 65 =</w:t>
            </w:r>
            <w:r w:rsidRPr="00185DAB">
              <w:rPr>
                <w:rFonts w:ascii="Garamond" w:hAnsi="Garamond"/>
                <w:b/>
                <w:sz w:val="24"/>
                <w:szCs w:val="24"/>
              </w:rPr>
              <w:t xml:space="preserve"> 4</w:t>
            </w:r>
            <w:r w:rsidRPr="00185DAB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F43588" w:rsidRPr="00185DAB" w:rsidRDefault="00F43588" w:rsidP="007C462B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da 66 a 70 =</w:t>
            </w:r>
            <w:r w:rsidRPr="00185DAB">
              <w:rPr>
                <w:rFonts w:ascii="Garamond" w:hAnsi="Garamond"/>
                <w:b/>
                <w:sz w:val="24"/>
                <w:szCs w:val="24"/>
              </w:rPr>
              <w:t xml:space="preserve"> 5</w:t>
            </w:r>
            <w:r w:rsidRPr="00185DAB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F43588" w:rsidRPr="00185DAB" w:rsidRDefault="00F43588" w:rsidP="007C462B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da 71 a 75 =</w:t>
            </w:r>
            <w:r w:rsidRPr="00185DAB">
              <w:rPr>
                <w:rFonts w:ascii="Garamond" w:hAnsi="Garamond"/>
                <w:b/>
                <w:sz w:val="24"/>
                <w:szCs w:val="24"/>
              </w:rPr>
              <w:t xml:space="preserve"> 6</w:t>
            </w:r>
            <w:r w:rsidRPr="00185DAB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F43588" w:rsidRPr="00185DAB" w:rsidRDefault="00F43588" w:rsidP="007C462B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da 76 a 80 =</w:t>
            </w:r>
            <w:r w:rsidRPr="00185DAB">
              <w:rPr>
                <w:rFonts w:ascii="Garamond" w:hAnsi="Garamond"/>
                <w:b/>
                <w:sz w:val="24"/>
                <w:szCs w:val="24"/>
              </w:rPr>
              <w:t xml:space="preserve"> 7</w:t>
            </w:r>
            <w:r w:rsidRPr="00185DAB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F43588" w:rsidRPr="00185DAB" w:rsidRDefault="00F43588" w:rsidP="007C462B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da 81 a 85 =</w:t>
            </w:r>
            <w:r w:rsidRPr="00185DAB">
              <w:rPr>
                <w:rFonts w:ascii="Garamond" w:hAnsi="Garamond"/>
                <w:b/>
                <w:sz w:val="24"/>
                <w:szCs w:val="24"/>
              </w:rPr>
              <w:t xml:space="preserve"> 8</w:t>
            </w:r>
            <w:r w:rsidRPr="00185DAB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F43588" w:rsidRPr="00185DAB" w:rsidRDefault="00F43588" w:rsidP="007C462B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da 86 a 90 =</w:t>
            </w:r>
            <w:r w:rsidRPr="00185DAB">
              <w:rPr>
                <w:rFonts w:ascii="Garamond" w:hAnsi="Garamond"/>
                <w:b/>
                <w:sz w:val="24"/>
                <w:szCs w:val="24"/>
              </w:rPr>
              <w:t xml:space="preserve"> 9</w:t>
            </w:r>
            <w:r w:rsidRPr="00185DAB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F43588" w:rsidRPr="00185DAB" w:rsidRDefault="00F43588" w:rsidP="007C462B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da 91 a 95 =</w:t>
            </w:r>
            <w:r w:rsidRPr="00185DAB">
              <w:rPr>
                <w:rFonts w:ascii="Garamond" w:hAnsi="Garamond"/>
                <w:b/>
                <w:sz w:val="24"/>
                <w:szCs w:val="24"/>
              </w:rPr>
              <w:t>11</w:t>
            </w:r>
            <w:r w:rsidRPr="00185DAB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F43588" w:rsidRPr="00185DAB" w:rsidRDefault="00F43588" w:rsidP="006B458A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da 96 a 100 =</w:t>
            </w:r>
            <w:r w:rsidRPr="00185DAB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F43588" w:rsidRPr="00185DAB" w:rsidTr="00F43588">
        <w:tc>
          <w:tcPr>
            <w:tcW w:w="983" w:type="dxa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582769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5964" w:type="dxa"/>
            <w:tcBorders>
              <w:top w:val="nil"/>
              <w:bottom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92623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I titoli di abilitazione il cui voto non è espresso in centesimi sono rapportati a 100. Le eventuali frazioni di voto sono arrotondate per eccesso al voto superiore solo se pari o superiori a 0,50. Qualora nel titolo non sia indicato il punteggio ovvero il giudizio finale non sia quantificabile in termini numerici, sono attribuiti</w:t>
            </w:r>
          </w:p>
        </w:tc>
        <w:tc>
          <w:tcPr>
            <w:tcW w:w="1753" w:type="dxa"/>
            <w:tcBorders>
              <w:top w:val="nil"/>
              <w:bottom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43588" w:rsidRPr="00185DAB" w:rsidRDefault="00F43588" w:rsidP="007C462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185DAB">
              <w:rPr>
                <w:rFonts w:ascii="Garamond" w:hAnsi="Garamond"/>
                <w:b/>
                <w:sz w:val="24"/>
                <w:szCs w:val="24"/>
              </w:rPr>
              <w:t>8</w:t>
            </w:r>
          </w:p>
        </w:tc>
      </w:tr>
      <w:tr w:rsidR="00F43588" w:rsidRPr="00185DAB" w:rsidTr="00F43588">
        <w:trPr>
          <w:trHeight w:val="20"/>
        </w:trPr>
        <w:tc>
          <w:tcPr>
            <w:tcW w:w="98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58276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A.2</w:t>
            </w:r>
          </w:p>
        </w:tc>
        <w:tc>
          <w:tcPr>
            <w:tcW w:w="5964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8555AB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In aggiunta ai punteggi di cui al punto A1:</w:t>
            </w:r>
          </w:p>
          <w:p w:rsidR="00F43588" w:rsidRPr="00185DAB" w:rsidRDefault="00F43588" w:rsidP="00023800">
            <w:pPr>
              <w:pStyle w:val="Paragrafoelenco"/>
              <w:numPr>
                <w:ilvl w:val="0"/>
                <w:numId w:val="43"/>
              </w:numPr>
              <w:spacing w:after="0"/>
              <w:ind w:left="714" w:hanging="357"/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per l’abilitazione conseguita presso le SSIS, i corsi biennali BIFORDOC e per le abilitazioni sulle classi di concorso A-30 e A-29 conseguite attraverso il Diploma di didattica della musica, sono attribuiti ulteriori</w:t>
            </w:r>
          </w:p>
        </w:tc>
        <w:tc>
          <w:tcPr>
            <w:tcW w:w="175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43588" w:rsidRPr="00185DAB" w:rsidRDefault="00F43588" w:rsidP="007C462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185DAB">
              <w:rPr>
                <w:rFonts w:ascii="Garamond" w:hAnsi="Garamond"/>
                <w:b/>
                <w:sz w:val="24"/>
                <w:szCs w:val="24"/>
              </w:rPr>
              <w:t>54</w:t>
            </w:r>
          </w:p>
        </w:tc>
      </w:tr>
      <w:tr w:rsidR="00F43588" w:rsidRPr="00185DAB" w:rsidTr="00F43588">
        <w:trPr>
          <w:trHeight w:val="20"/>
        </w:trPr>
        <w:tc>
          <w:tcPr>
            <w:tcW w:w="98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582769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5964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8555AB">
            <w:pPr>
              <w:jc w:val="both"/>
              <w:rPr>
                <w:rFonts w:ascii="Garamond" w:hAnsi="Garamond"/>
                <w:i/>
                <w:sz w:val="24"/>
                <w:szCs w:val="24"/>
              </w:rPr>
            </w:pPr>
            <w:r w:rsidRPr="00185DAB">
              <w:rPr>
                <w:rFonts w:ascii="Garamond" w:hAnsi="Garamond"/>
                <w:i/>
                <w:sz w:val="24"/>
                <w:szCs w:val="24"/>
              </w:rPr>
              <w:t>(di cui 24 per la durata biennale del percorso abilitativo e 30 per la selettività dello stesso percorso tenendo conto del superamento di prove di accesso selettive e dell’ammissione a corsi a numero programmato).</w:t>
            </w:r>
          </w:p>
        </w:tc>
        <w:tc>
          <w:tcPr>
            <w:tcW w:w="175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43588" w:rsidRPr="00185DAB" w:rsidRDefault="00F43588" w:rsidP="007C462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F43588" w:rsidRPr="00185DAB" w:rsidTr="00F43588">
        <w:trPr>
          <w:trHeight w:val="20"/>
        </w:trPr>
        <w:tc>
          <w:tcPr>
            <w:tcW w:w="98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582769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5964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8555AB">
            <w:pPr>
              <w:pStyle w:val="Paragrafoelenco"/>
              <w:numPr>
                <w:ilvl w:val="0"/>
                <w:numId w:val="43"/>
              </w:num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per l’abilitazione conseguita attraverso la frequenza dei soli percorsi, a numero programmato, di Tirocinio Formativo Attivo ai sensi dell’art. 15, comma 1 e comma 17, del DM 249/2010, sono attribuiti ulteriori</w:t>
            </w:r>
          </w:p>
        </w:tc>
        <w:tc>
          <w:tcPr>
            <w:tcW w:w="175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43588" w:rsidRPr="00185DAB" w:rsidRDefault="00F43588" w:rsidP="007C462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185DAB">
              <w:rPr>
                <w:rFonts w:ascii="Garamond" w:hAnsi="Garamond"/>
                <w:b/>
                <w:sz w:val="24"/>
                <w:szCs w:val="24"/>
              </w:rPr>
              <w:t>42</w:t>
            </w:r>
          </w:p>
        </w:tc>
      </w:tr>
      <w:tr w:rsidR="00F43588" w:rsidRPr="00185DAB" w:rsidTr="00F43588">
        <w:trPr>
          <w:trHeight w:val="20"/>
        </w:trPr>
        <w:tc>
          <w:tcPr>
            <w:tcW w:w="98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582769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5964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8555AB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i/>
                <w:sz w:val="24"/>
                <w:szCs w:val="24"/>
              </w:rPr>
              <w:t xml:space="preserve">(di cui 12 per la durata annuale del percorso abilitativo e 30 per la selettività dello stesso percorso tenendo conto del superamento di prove di </w:t>
            </w:r>
            <w:r w:rsidRPr="00185DAB">
              <w:rPr>
                <w:rFonts w:ascii="Garamond" w:hAnsi="Garamond"/>
                <w:i/>
                <w:sz w:val="24"/>
                <w:szCs w:val="24"/>
              </w:rPr>
              <w:lastRenderedPageBreak/>
              <w:t>accesso selettive e dell’ammissione a corsi a numero programmato)</w:t>
            </w:r>
          </w:p>
        </w:tc>
        <w:tc>
          <w:tcPr>
            <w:tcW w:w="175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43588" w:rsidRPr="00185DAB" w:rsidRDefault="00F43588" w:rsidP="007C462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F43588" w:rsidRPr="00185DAB" w:rsidTr="00F43588">
        <w:trPr>
          <w:trHeight w:val="20"/>
        </w:trPr>
        <w:tc>
          <w:tcPr>
            <w:tcW w:w="98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582769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5964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8555AB">
            <w:pPr>
              <w:pStyle w:val="Paragrafoelenco"/>
              <w:numPr>
                <w:ilvl w:val="0"/>
                <w:numId w:val="43"/>
              </w:num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per l’abilitazione conseguita attraverso i percorsi formativi di cui all’art. 3, comma 3, del DM 249/2010, sono attribuiti ulteriori</w:t>
            </w:r>
          </w:p>
        </w:tc>
        <w:tc>
          <w:tcPr>
            <w:tcW w:w="175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43588" w:rsidRPr="00185DAB" w:rsidRDefault="00F43588" w:rsidP="007C462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185DAB">
              <w:rPr>
                <w:rFonts w:ascii="Garamond" w:hAnsi="Garamond"/>
                <w:b/>
                <w:sz w:val="24"/>
                <w:szCs w:val="24"/>
              </w:rPr>
              <w:t>66</w:t>
            </w:r>
          </w:p>
        </w:tc>
      </w:tr>
      <w:tr w:rsidR="00F43588" w:rsidRPr="00185DAB" w:rsidTr="00F43588">
        <w:trPr>
          <w:trHeight w:val="20"/>
        </w:trPr>
        <w:tc>
          <w:tcPr>
            <w:tcW w:w="98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582769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5964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8555AB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i/>
                <w:sz w:val="24"/>
                <w:szCs w:val="24"/>
              </w:rPr>
              <w:t>(di cui 36 per la durata triennale del percorso abilitativo (2 anni per il diploma accademico di II livello e 1 anno per il TFA) e 30 per la selettività dello stesso percorso tenendo conto del superamento di prove di accesso selettive e dell’ammissione a corsi a numero programmato</w:t>
            </w:r>
          </w:p>
        </w:tc>
        <w:tc>
          <w:tcPr>
            <w:tcW w:w="175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43588" w:rsidRPr="00185DAB" w:rsidRDefault="00F43588" w:rsidP="007C462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F43588" w:rsidRPr="00185DAB" w:rsidTr="00F43588">
        <w:trPr>
          <w:trHeight w:val="20"/>
        </w:trPr>
        <w:tc>
          <w:tcPr>
            <w:tcW w:w="98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D10A22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5964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AE431E">
            <w:pPr>
              <w:pStyle w:val="Paragrafoelenco"/>
              <w:numPr>
                <w:ilvl w:val="0"/>
                <w:numId w:val="43"/>
              </w:num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per l’abilitazione conseguita attraverso percorsi di abilitazione speciale ex articolo 15, comma 1-</w:t>
            </w:r>
            <w:r w:rsidRPr="00185DAB">
              <w:rPr>
                <w:rFonts w:ascii="Garamond" w:hAnsi="Garamond"/>
                <w:i/>
                <w:sz w:val="24"/>
                <w:szCs w:val="24"/>
              </w:rPr>
              <w:t>bis</w:t>
            </w:r>
            <w:r w:rsidRPr="00185DAB">
              <w:rPr>
                <w:rFonts w:ascii="Garamond" w:hAnsi="Garamond"/>
                <w:sz w:val="24"/>
                <w:szCs w:val="24"/>
              </w:rPr>
              <w:t xml:space="preserve"> del DM 249/2010, sono attribuiti, in ragione della durata annuale del percorso, ulteriori</w:t>
            </w:r>
          </w:p>
        </w:tc>
        <w:tc>
          <w:tcPr>
            <w:tcW w:w="175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43588" w:rsidRPr="00185DAB" w:rsidRDefault="00F43588" w:rsidP="00D10A22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185DAB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F43588" w:rsidRPr="00185DAB" w:rsidTr="00F43588">
        <w:trPr>
          <w:trHeight w:val="20"/>
        </w:trPr>
        <w:tc>
          <w:tcPr>
            <w:tcW w:w="98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D10A22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5964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8555AB">
            <w:pPr>
              <w:pStyle w:val="Paragrafoelenco"/>
              <w:numPr>
                <w:ilvl w:val="0"/>
                <w:numId w:val="43"/>
              </w:num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 xml:space="preserve">per i titoli di abilitazione conseguiti all’estero, validi quali abilitazioni nel Paese ove sono stati conseguiti e riconosciuti in Italia ai sensi della normativa vigente, il punteggio di cui al presente punto A.2 è riconosciuto in via analogica, in ragione di </w:t>
            </w:r>
            <w:r w:rsidRPr="00185DAB">
              <w:rPr>
                <w:rFonts w:ascii="Garamond" w:hAnsi="Garamond"/>
                <w:b/>
                <w:sz w:val="24"/>
                <w:szCs w:val="24"/>
              </w:rPr>
              <w:t>12</w:t>
            </w:r>
            <w:r w:rsidRPr="00185DAB">
              <w:rPr>
                <w:rFonts w:ascii="Garamond" w:hAnsi="Garamond"/>
                <w:sz w:val="24"/>
                <w:szCs w:val="24"/>
              </w:rPr>
              <w:t xml:space="preserve"> punti per ogni anno di durata legale dello stesso e in eventuali </w:t>
            </w:r>
            <w:r w:rsidRPr="00185DAB">
              <w:rPr>
                <w:rFonts w:ascii="Garamond" w:hAnsi="Garamond"/>
                <w:b/>
                <w:sz w:val="24"/>
                <w:szCs w:val="24"/>
              </w:rPr>
              <w:t>30</w:t>
            </w:r>
            <w:r w:rsidRPr="00185DAB">
              <w:rPr>
                <w:rFonts w:ascii="Garamond" w:hAnsi="Garamond"/>
                <w:sz w:val="24"/>
                <w:szCs w:val="24"/>
              </w:rPr>
              <w:t xml:space="preserve"> punti qualora si tratti di percorsi ad accesso selettivo e a numero programmato.</w:t>
            </w:r>
          </w:p>
        </w:tc>
        <w:tc>
          <w:tcPr>
            <w:tcW w:w="175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43588" w:rsidRPr="00185DAB" w:rsidRDefault="00F43588" w:rsidP="00D10A22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F43588" w:rsidRPr="00185DAB" w:rsidTr="00F43588">
        <w:trPr>
          <w:trHeight w:val="20"/>
        </w:trPr>
        <w:tc>
          <w:tcPr>
            <w:tcW w:w="983" w:type="dxa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D10A22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5964" w:type="dxa"/>
            <w:tcBorders>
              <w:top w:val="nil"/>
              <w:bottom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8555AB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Nel caso in cui il titolo di cui al punto A.2 sia valido per più di una classe di concorso, il punteggio è attribuito per ciascuna di esse.</w:t>
            </w:r>
          </w:p>
        </w:tc>
        <w:tc>
          <w:tcPr>
            <w:tcW w:w="1753" w:type="dxa"/>
            <w:tcBorders>
              <w:top w:val="nil"/>
              <w:bottom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43588" w:rsidRPr="00185DAB" w:rsidRDefault="00F43588" w:rsidP="00D10A22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F43588" w:rsidRPr="00185DAB" w:rsidTr="00F43588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6D27B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85DAB">
              <w:rPr>
                <w:rFonts w:ascii="Garamond" w:hAnsi="Garamond"/>
                <w:b/>
                <w:sz w:val="24"/>
                <w:szCs w:val="24"/>
              </w:rPr>
              <w:t>B</w:t>
            </w: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CA138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85DAB">
              <w:rPr>
                <w:rFonts w:ascii="Garamond" w:hAnsi="Garamond"/>
                <w:b/>
                <w:sz w:val="24"/>
                <w:szCs w:val="24"/>
              </w:rPr>
              <w:t>Punteggio per i titoli accademici e scientifici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43588" w:rsidRPr="00185DAB" w:rsidRDefault="00F43588" w:rsidP="005B1B29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F43588" w:rsidRPr="00185DAB" w:rsidTr="00F43588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43436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B.1</w:t>
            </w: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AE431E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Diploma di laurea, laurea specialistica, laurea magistrale, diploma accademico di vecchio ordinamento o diploma accademico di II livello che non costituisce il titolo di accesso all’abilitazione di cui al punto A.1, per ciascun titolo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43588" w:rsidRPr="00185DAB" w:rsidRDefault="00F43588" w:rsidP="0043436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185DAB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</w:tr>
      <w:tr w:rsidR="00F43588" w:rsidRPr="00185DAB" w:rsidTr="00F43588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43436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B.2</w:t>
            </w: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AE431E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Diploma ISEF, Laurea triennale o diploma accademico di I livello, qualora non costituisca titolo di accesso al titolo di cui al punto B.1, per ciascun titolo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43588" w:rsidRPr="00185DAB" w:rsidRDefault="00F43588" w:rsidP="0043436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185DAB">
              <w:rPr>
                <w:rFonts w:ascii="Garamond" w:hAnsi="Garamond"/>
                <w:b/>
                <w:sz w:val="24"/>
                <w:szCs w:val="24"/>
              </w:rPr>
              <w:t>1,5</w:t>
            </w:r>
          </w:p>
        </w:tc>
      </w:tr>
      <w:tr w:rsidR="00F43588" w:rsidRPr="00185DAB" w:rsidTr="00F43588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3479B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B.3</w:t>
            </w: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2D6AC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Diploma di Istituto Tecnico Superiore, per ciascun titolo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43588" w:rsidRPr="00185DAB" w:rsidRDefault="00F43588" w:rsidP="00F5430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185DAB">
              <w:rPr>
                <w:rFonts w:ascii="Garamond" w:hAnsi="Garamond"/>
                <w:b/>
                <w:sz w:val="24"/>
                <w:szCs w:val="24"/>
              </w:rPr>
              <w:t>1,5</w:t>
            </w:r>
          </w:p>
        </w:tc>
      </w:tr>
      <w:tr w:rsidR="00F43588" w:rsidRPr="00185DAB" w:rsidTr="00F43588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A373C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B.4</w:t>
            </w: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AE431E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Ulteriore abilitazione nella medesima classe di concorso, per ciascun titolo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43588" w:rsidRPr="00185DAB" w:rsidRDefault="00F43588" w:rsidP="00F5430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185DAB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</w:tr>
      <w:tr w:rsidR="00F43588" w:rsidRPr="00185DAB" w:rsidTr="00F43588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3479B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lastRenderedPageBreak/>
              <w:t>B.5</w:t>
            </w: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DD50E9" w:rsidRDefault="00F43588" w:rsidP="00F5430B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D50E9">
              <w:rPr>
                <w:rFonts w:ascii="Garamond" w:hAnsi="Garamond"/>
                <w:sz w:val="24"/>
                <w:szCs w:val="24"/>
              </w:rPr>
              <w:t>Titolo di specializzazione sul sostegno</w:t>
            </w:r>
            <w:r w:rsidR="00B8602C" w:rsidRPr="00DD50E9">
              <w:rPr>
                <w:rFonts w:ascii="Garamond" w:hAnsi="Garamond"/>
                <w:sz w:val="24"/>
                <w:szCs w:val="24"/>
              </w:rPr>
              <w:t xml:space="preserve"> agli alunni con disabilità</w:t>
            </w:r>
            <w:r w:rsidRPr="00DD50E9">
              <w:rPr>
                <w:rFonts w:ascii="Garamond" w:hAnsi="Garamond"/>
                <w:sz w:val="24"/>
                <w:szCs w:val="24"/>
              </w:rPr>
              <w:t>, per ciascun titolo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43588" w:rsidRPr="00DD50E9" w:rsidRDefault="00937CE3" w:rsidP="00F5430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DD50E9">
              <w:rPr>
                <w:rFonts w:ascii="Garamond" w:hAnsi="Garamond"/>
                <w:b/>
                <w:sz w:val="24"/>
                <w:szCs w:val="24"/>
              </w:rPr>
              <w:t>9</w:t>
            </w:r>
          </w:p>
        </w:tc>
      </w:tr>
      <w:tr w:rsidR="00F43588" w:rsidRPr="00185DAB" w:rsidTr="00F43588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3479B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B.6</w:t>
            </w: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02380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Superamento delle prove di un concorso ordinario per titoli ed esami per la scuola secondaria di primo e secondo grado sulla specifica classe di concorso, qualora non valutato ai sensi del punto B.4, per ciascun titolo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43588" w:rsidRPr="00185DAB" w:rsidRDefault="00F43588" w:rsidP="00F5430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185DAB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</w:tr>
      <w:tr w:rsidR="00F43588" w:rsidRPr="00185DAB" w:rsidTr="00F43588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2D6AC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B.7</w:t>
            </w: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6423F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Dottorato di ricerca; diploma di perfezionamento equiparato per legge o per statuto e ricompreso nel Decreto del Ministro dell’Istruzione, dell’università e della ricerca 8 aprile 2009, n. 42, per ciascun titolo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43588" w:rsidRPr="00185DAB" w:rsidRDefault="00F43588" w:rsidP="00F5430B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F43588" w:rsidRPr="00185DAB" w:rsidTr="00F43588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2D6AC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B.8</w:t>
            </w: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6423F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Abilitazione scientifica nazionale a professore di I o II fascia di cui all’articolo 16 della legge 30 dicembre 2010, n. 240, per ciascun titolo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43588" w:rsidRPr="00185DAB" w:rsidRDefault="00F43588" w:rsidP="00F5430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185DAB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F43588" w:rsidRPr="00185DAB" w:rsidTr="00F43588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2D6AC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B.9</w:t>
            </w: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6423F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Attività di ricerca scientifica sulla base di assegni ai sensi dell’articolo 51, comma 6, della legge 27 dicembre 1997 n. 449, ovvero dell’articolo 1, comma 14, della legge 4 novembre 2005 n. 230, ovvero dell’articolo 22 della legge 30 dicembre 2010, n. 240, per ciascun titolo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43588" w:rsidRPr="00185DAB" w:rsidRDefault="00F43588" w:rsidP="00F5430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185DAB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F43588" w:rsidRPr="00185DAB" w:rsidTr="00F43588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2D6AC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B.10</w:t>
            </w: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172817" w:rsidP="006423F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 xml:space="preserve">Inserimento nelle graduatorie nazionali preposte alla stipula di contratti di docenza a tempo indeterminato per i docenti AFAM, </w:t>
            </w:r>
            <w:r>
              <w:rPr>
                <w:rFonts w:ascii="Garamond" w:hAnsi="Garamond"/>
                <w:sz w:val="24"/>
                <w:szCs w:val="24"/>
              </w:rPr>
              <w:t>per ciascuna graduatoria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43588" w:rsidRPr="00185DAB" w:rsidRDefault="00F43588" w:rsidP="00F5430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185DAB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F43588" w:rsidRPr="00185DAB" w:rsidTr="00F43588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715B1E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B.11</w:t>
            </w: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6D27B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Diploma di specializzazione universitario di durata pluriennale, non altrimenti valutato (si valuta al massimo un titolo)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43588" w:rsidRPr="00185DAB" w:rsidRDefault="00DD50E9" w:rsidP="00A373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</w:tr>
      <w:tr w:rsidR="00F43588" w:rsidRPr="00185DAB" w:rsidTr="00F43588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023800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B.12</w:t>
            </w: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4B4A76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Titolo di perfezionamento all’insegnamento in CLIL conseguito ai sensi dell’articolo 14 del DM 249/2010 ovvero titolo di abilitazione all’insegnamento in CLIL in un paese UE, per ciascun titolo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43588" w:rsidRPr="00185DAB" w:rsidRDefault="00F43588" w:rsidP="00A373C9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b/>
                <w:sz w:val="24"/>
                <w:szCs w:val="24"/>
              </w:rPr>
              <w:t xml:space="preserve">6 </w:t>
            </w:r>
          </w:p>
        </w:tc>
      </w:tr>
      <w:tr w:rsidR="00F43588" w:rsidRPr="00185DAB" w:rsidTr="00F43588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023800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B.13</w:t>
            </w: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5C785A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 xml:space="preserve">Certificazione </w:t>
            </w:r>
            <w:proofErr w:type="spellStart"/>
            <w:r w:rsidRPr="00185DAB">
              <w:rPr>
                <w:rFonts w:ascii="Garamond" w:hAnsi="Garamond"/>
                <w:sz w:val="24"/>
                <w:szCs w:val="24"/>
              </w:rPr>
              <w:t>CeClil</w:t>
            </w:r>
            <w:proofErr w:type="spellEnd"/>
            <w:r w:rsidRPr="00185DAB">
              <w:rPr>
                <w:rFonts w:ascii="Garamond" w:hAnsi="Garamond"/>
                <w:sz w:val="24"/>
                <w:szCs w:val="24"/>
              </w:rPr>
              <w:t xml:space="preserve"> o certificazione ottenuta a seguito di positiva frequenza dei percorsi di perfezionamento in CLIL di cui al Decreto del Direttore Generale per il personale scolastico 6 aprile 2012, n. 6, o per la positiva frequenza di Corsi di perfezionamento sulla metodologia CLIL della durata pari a 60 CFU, purché congiunti alla certificazione nella relativa lingua straniera di cui al punto B.14, per ciascun titolo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43588" w:rsidRPr="00185DAB" w:rsidRDefault="00F43588" w:rsidP="00A373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185DAB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</w:tr>
      <w:tr w:rsidR="00F43588" w:rsidRPr="00185DAB" w:rsidTr="00F43588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023800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lastRenderedPageBreak/>
              <w:t>B.14</w:t>
            </w:r>
          </w:p>
        </w:tc>
        <w:tc>
          <w:tcPr>
            <w:tcW w:w="59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4B4A76">
            <w:pPr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Certificazioni l</w:t>
            </w:r>
            <w:r w:rsidR="00A14DB6">
              <w:rPr>
                <w:rFonts w:ascii="Garamond" w:hAnsi="Garamond"/>
                <w:sz w:val="24"/>
                <w:szCs w:val="24"/>
              </w:rPr>
              <w:t>inguistiche di livello almeno B2</w:t>
            </w:r>
            <w:r w:rsidRPr="00185DAB">
              <w:rPr>
                <w:rFonts w:ascii="Garamond" w:hAnsi="Garamond"/>
                <w:sz w:val="24"/>
                <w:szCs w:val="24"/>
              </w:rPr>
              <w:t xml:space="preserve"> in lingua straniera conseguite ai sensi del decreto del Ministro dell’istruzione, dell’università e della ricerca 7 marzo 2012, </w:t>
            </w:r>
            <w:proofErr w:type="spellStart"/>
            <w:r w:rsidRPr="00185DAB">
              <w:rPr>
                <w:rFonts w:ascii="Garamond" w:hAnsi="Garamond"/>
                <w:sz w:val="24"/>
                <w:szCs w:val="24"/>
              </w:rPr>
              <w:t>prot</w:t>
            </w:r>
            <w:proofErr w:type="spellEnd"/>
            <w:r w:rsidRPr="00185DAB">
              <w:rPr>
                <w:rFonts w:ascii="Garamond" w:hAnsi="Garamond"/>
                <w:sz w:val="24"/>
                <w:szCs w:val="24"/>
              </w:rPr>
              <w:t xml:space="preserve">. 3889, pubblicato sulla G.U. n. 79 del 3 aprile 2012 ed esclusivamente presso gli Enti ricompresi nell’elenco degli Enti certificatori riconosciuti dal </w:t>
            </w:r>
            <w:proofErr w:type="spellStart"/>
            <w:r w:rsidRPr="00185DAB">
              <w:rPr>
                <w:rFonts w:ascii="Garamond" w:hAnsi="Garamond"/>
                <w:sz w:val="24"/>
                <w:szCs w:val="24"/>
              </w:rPr>
              <w:t>Miur</w:t>
            </w:r>
            <w:proofErr w:type="spellEnd"/>
            <w:r w:rsidRPr="00185DAB">
              <w:rPr>
                <w:rFonts w:ascii="Garamond" w:hAnsi="Garamond"/>
                <w:sz w:val="24"/>
                <w:szCs w:val="24"/>
              </w:rPr>
              <w:t xml:space="preserve"> ai sensi del predetto decreto, per ciascun titolo (è valutato un solo titolo per ciascuna lingua straniera)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43588" w:rsidRPr="00185DAB" w:rsidRDefault="00F43588" w:rsidP="00AE431E">
            <w:pPr>
              <w:jc w:val="right"/>
              <w:rPr>
                <w:rFonts w:ascii="Garamond" w:hAnsi="Garamond"/>
                <w:sz w:val="24"/>
                <w:szCs w:val="24"/>
              </w:rPr>
            </w:pPr>
          </w:p>
          <w:p w:rsidR="00F43588" w:rsidRPr="00185DAB" w:rsidRDefault="00F43588" w:rsidP="00AE431E">
            <w:pPr>
              <w:jc w:val="right"/>
              <w:rPr>
                <w:rFonts w:ascii="Garamond" w:hAnsi="Garamond"/>
                <w:sz w:val="24"/>
                <w:szCs w:val="24"/>
              </w:rPr>
            </w:pPr>
          </w:p>
          <w:p w:rsidR="00F43588" w:rsidRPr="00185DAB" w:rsidRDefault="00F43588" w:rsidP="00AE431E">
            <w:pPr>
              <w:jc w:val="right"/>
              <w:rPr>
                <w:rFonts w:ascii="Garamond" w:hAnsi="Garamond"/>
                <w:sz w:val="24"/>
                <w:szCs w:val="24"/>
              </w:rPr>
            </w:pPr>
          </w:p>
          <w:p w:rsidR="00F43588" w:rsidRPr="00185DAB" w:rsidRDefault="00F43588" w:rsidP="00AE431E">
            <w:pPr>
              <w:jc w:val="right"/>
              <w:rPr>
                <w:rFonts w:ascii="Garamond" w:hAnsi="Garamond"/>
                <w:sz w:val="24"/>
                <w:szCs w:val="24"/>
              </w:rPr>
            </w:pPr>
          </w:p>
          <w:p w:rsidR="00F43588" w:rsidRPr="00185DAB" w:rsidRDefault="00F43588" w:rsidP="00AE431E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185DAB">
              <w:rPr>
                <w:rFonts w:ascii="Garamond" w:hAnsi="Garamond"/>
                <w:b/>
                <w:sz w:val="24"/>
                <w:szCs w:val="24"/>
              </w:rPr>
              <w:t>a. B2 Punti 3</w:t>
            </w:r>
          </w:p>
          <w:p w:rsidR="00F43588" w:rsidRPr="00185DAB" w:rsidRDefault="00F43588" w:rsidP="00AE431E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b/>
                <w:sz w:val="24"/>
                <w:szCs w:val="24"/>
              </w:rPr>
              <w:t>b. C1 Punti 4</w:t>
            </w:r>
          </w:p>
          <w:p w:rsidR="00F43588" w:rsidRPr="00185DAB" w:rsidRDefault="00F43588" w:rsidP="00AE431E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b/>
                <w:sz w:val="24"/>
                <w:szCs w:val="24"/>
              </w:rPr>
              <w:t>c. C2 Punti 6</w:t>
            </w:r>
          </w:p>
        </w:tc>
      </w:tr>
      <w:tr w:rsidR="00F43588" w:rsidRPr="00185DAB" w:rsidTr="00F43588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023800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B.15</w:t>
            </w: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6F158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Diploma di perfezionamento post diploma o post laurea, master universitario di I o II livello, corrispondenti a 60 CFU con esame finale, per un massimo di tre titoli, conseguiti in tre differenti anni accademici, per ciascun titolo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43588" w:rsidRPr="00185DAB" w:rsidRDefault="00DD50E9" w:rsidP="00A373C9">
            <w:pPr>
              <w:jc w:val="righ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</w:tr>
      <w:tr w:rsidR="00F43588" w:rsidRPr="00185DAB" w:rsidTr="00F43588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2D6AC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B.16</w:t>
            </w: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6C2B45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Titolo di specializzazione in italiano L2 di cui all’articolo 3, comma 2, e all’allegato A al DM 23 febbraio 2016, n. 92, per ciascun titolo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43588" w:rsidRPr="00185DAB" w:rsidRDefault="00DD2D26" w:rsidP="00A373C9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DD50E9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</w:tr>
      <w:tr w:rsidR="00F43588" w:rsidRPr="00185DAB" w:rsidTr="00F43588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2D6AC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B.17</w:t>
            </w: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6C2B45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Certificazioni informatiche, per ogni titolo presentato e sino a un massimo di quattro titoli per complessivi 2 punti, sono riconosciuti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43588" w:rsidRPr="00185DAB" w:rsidRDefault="00F43588" w:rsidP="00A373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185DAB">
              <w:rPr>
                <w:rFonts w:ascii="Garamond" w:hAnsi="Garamond"/>
                <w:b/>
                <w:sz w:val="24"/>
                <w:szCs w:val="24"/>
              </w:rPr>
              <w:t>0,5</w:t>
            </w:r>
          </w:p>
        </w:tc>
      </w:tr>
      <w:tr w:rsidR="00F43588" w:rsidRPr="00185DAB" w:rsidTr="00F43588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2D6AC9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D151A2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85DAB">
              <w:rPr>
                <w:rFonts w:ascii="Garamond" w:hAnsi="Garamond"/>
                <w:b/>
                <w:sz w:val="24"/>
                <w:szCs w:val="24"/>
              </w:rPr>
              <w:t>Punteggio per i titoli specificamente valutabili per le graduatorie relative alle classi di concorso A-55, A-56, A-59 e A-63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43588" w:rsidRPr="00185DAB" w:rsidRDefault="00F43588" w:rsidP="00A373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F43588" w:rsidRPr="00185DAB" w:rsidTr="00F43588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D151A2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B.18</w:t>
            </w: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3079C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Diploma di perfezionamento conseguito presso l’Accademia Nazionale di Santa Cecilia</w:t>
            </w:r>
            <w:r w:rsidR="008D4A3F">
              <w:rPr>
                <w:rFonts w:ascii="Garamond" w:hAnsi="Garamond"/>
                <w:sz w:val="24"/>
                <w:szCs w:val="24"/>
              </w:rPr>
              <w:t>,</w:t>
            </w:r>
            <w:r w:rsidRPr="00185DAB"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8D4A3F">
              <w:rPr>
                <w:rFonts w:ascii="Garamond" w:hAnsi="Garamond"/>
                <w:sz w:val="24"/>
                <w:szCs w:val="24"/>
              </w:rPr>
              <w:t>per ciascun titolo</w:t>
            </w:r>
            <w:r w:rsidRPr="00185DAB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F43588" w:rsidRPr="00185DAB" w:rsidRDefault="00F43588" w:rsidP="003079C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:rsidR="00F43588" w:rsidRPr="00185DAB" w:rsidRDefault="00F43588" w:rsidP="003079C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a) relativo allo strumento cui si riferisce la graduatoria o relativo alla musica da camera</w:t>
            </w:r>
          </w:p>
          <w:p w:rsidR="00F43588" w:rsidRPr="00185DAB" w:rsidRDefault="00F43588" w:rsidP="00D151A2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b) relativo ad altro strumento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3079C9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:rsidR="00F43588" w:rsidRPr="00185DAB" w:rsidRDefault="00F43588" w:rsidP="003079C9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:rsidR="00F43588" w:rsidRPr="00185DAB" w:rsidRDefault="00F43588" w:rsidP="003079C9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:rsidR="00F43588" w:rsidRPr="00185DAB" w:rsidRDefault="00F43588" w:rsidP="003079C9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:rsidR="00F43588" w:rsidRPr="00185DAB" w:rsidRDefault="008D4A3F" w:rsidP="00D151A2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6</w:t>
            </w:r>
          </w:p>
          <w:p w:rsidR="00F43588" w:rsidRPr="00185DAB" w:rsidRDefault="008D4A3F" w:rsidP="00A373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</w:tr>
      <w:tr w:rsidR="00F43588" w:rsidRPr="00185DAB" w:rsidTr="00F43588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D151A2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B.19</w:t>
            </w: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3079C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Premi in concorsi nazionali od internazionali relativi allo specifico strumento, per ciascun premio</w:t>
            </w:r>
            <w:r w:rsidRPr="00185DAB">
              <w:rPr>
                <w:rFonts w:ascii="Garamond" w:hAnsi="Garamond"/>
                <w:sz w:val="24"/>
                <w:szCs w:val="24"/>
                <w:u w:color="000000"/>
              </w:rPr>
              <w:t xml:space="preserve"> e fino a un massimo di punti </w:t>
            </w:r>
            <w:r w:rsidR="008D4A3F">
              <w:rPr>
                <w:rFonts w:ascii="Garamond" w:hAnsi="Garamond"/>
                <w:sz w:val="24"/>
                <w:szCs w:val="24"/>
                <w:u w:color="000000"/>
              </w:rPr>
              <w:t>6</w:t>
            </w:r>
          </w:p>
          <w:p w:rsidR="00F43588" w:rsidRPr="00185DAB" w:rsidRDefault="00F43588" w:rsidP="00D151A2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primo premio</w:t>
            </w:r>
          </w:p>
          <w:p w:rsidR="00F43588" w:rsidRPr="00185DAB" w:rsidRDefault="00F43588" w:rsidP="00D151A2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secondo premio</w:t>
            </w:r>
          </w:p>
          <w:p w:rsidR="00F43588" w:rsidRPr="00185DAB" w:rsidRDefault="00F43588" w:rsidP="00D151A2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terzo premio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43588" w:rsidRPr="00185DAB" w:rsidRDefault="00F43588" w:rsidP="00D151A2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185DAB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8D4A3F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  <w:p w:rsidR="00F43588" w:rsidRPr="00185DAB" w:rsidRDefault="00F43588" w:rsidP="00D151A2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185DAB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8D4A3F">
              <w:rPr>
                <w:rFonts w:ascii="Garamond" w:hAnsi="Garamond"/>
                <w:b/>
                <w:sz w:val="24"/>
                <w:szCs w:val="24"/>
              </w:rPr>
              <w:t>2</w:t>
            </w:r>
          </w:p>
          <w:p w:rsidR="00F43588" w:rsidRPr="00185DAB" w:rsidRDefault="00F43588" w:rsidP="00D151A2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185DAB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8D4A3F">
              <w:rPr>
                <w:rFonts w:ascii="Garamond" w:hAnsi="Garamond"/>
                <w:b/>
                <w:sz w:val="24"/>
                <w:szCs w:val="24"/>
              </w:rPr>
              <w:t>1</w:t>
            </w:r>
          </w:p>
          <w:p w:rsidR="00F43588" w:rsidRPr="00185DAB" w:rsidRDefault="00F43588" w:rsidP="00D151A2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F43588" w:rsidRPr="00185DAB" w:rsidTr="00F43588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D151A2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B.20</w:t>
            </w: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D151A2">
            <w:pPr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 xml:space="preserve">Idoneità in concorsi per orchestre sinfoniche di Fondazioni Lirico Sinfoniche o Orchestre riconosciute ai sensi dell'articolo 28 della legge 14 agosto 1967 n. 800 e successivi provvedimenti, per ciascun titolo e sino a un massimo </w:t>
            </w:r>
            <w:r w:rsidRPr="00185DAB">
              <w:rPr>
                <w:rFonts w:ascii="Garamond" w:hAnsi="Garamond"/>
                <w:sz w:val="24"/>
                <w:szCs w:val="24"/>
              </w:rPr>
              <w:lastRenderedPageBreak/>
              <w:t>complessivo di punti</w:t>
            </w:r>
            <w:r w:rsidR="008D4A3F">
              <w:rPr>
                <w:rFonts w:ascii="Garamond" w:hAnsi="Garamond"/>
                <w:sz w:val="24"/>
                <w:szCs w:val="24"/>
              </w:rPr>
              <w:t xml:space="preserve"> 10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43588" w:rsidRPr="00185DAB" w:rsidRDefault="008D4A3F" w:rsidP="00A373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lastRenderedPageBreak/>
              <w:t>2</w:t>
            </w:r>
          </w:p>
        </w:tc>
      </w:tr>
      <w:tr w:rsidR="008D4A3F" w:rsidRPr="00185DAB" w:rsidTr="00F43588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D4A3F" w:rsidRPr="00185DAB" w:rsidRDefault="008D4A3F" w:rsidP="00D151A2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D4A3F" w:rsidRPr="00185DAB" w:rsidRDefault="008D4A3F" w:rsidP="00D151A2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8D4A3F" w:rsidRPr="00185DAB" w:rsidRDefault="008D4A3F" w:rsidP="00A373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F43588" w:rsidRPr="00185DAB" w:rsidTr="00F43588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D151A2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D151A2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85DAB">
              <w:rPr>
                <w:rFonts w:ascii="Garamond" w:hAnsi="Garamond"/>
                <w:b/>
                <w:sz w:val="24"/>
                <w:szCs w:val="24"/>
              </w:rPr>
              <w:t>Punteggio per i titoli specificamente valutabili per le procedure concorsuali relative alla classe di concorso</w:t>
            </w:r>
          </w:p>
          <w:p w:rsidR="00F43588" w:rsidRPr="00185DAB" w:rsidRDefault="00F43588" w:rsidP="00D151A2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85DAB">
              <w:rPr>
                <w:rFonts w:ascii="Garamond" w:hAnsi="Garamond"/>
                <w:b/>
                <w:sz w:val="24"/>
                <w:szCs w:val="24"/>
              </w:rPr>
              <w:t>A57 - Tecnica della danza classica</w:t>
            </w:r>
          </w:p>
          <w:p w:rsidR="00F43588" w:rsidRPr="00185DAB" w:rsidRDefault="00F43588" w:rsidP="00D151A2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b/>
                <w:sz w:val="24"/>
                <w:szCs w:val="24"/>
              </w:rPr>
              <w:t>A 58 - Tecnica della danza contemporanea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43588" w:rsidRPr="00185DAB" w:rsidRDefault="00F43588" w:rsidP="00A373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F43588" w:rsidRPr="00185DAB" w:rsidTr="00F43588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D151A2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B.21</w:t>
            </w: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AA3275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Premi in qualità di interprete in concorsi nazionali od internazionali relativi alla specifica classe di concorso - danza classica o danza contemporanea, per ciascun premi</w:t>
            </w:r>
            <w:r w:rsidR="008D4A3F">
              <w:rPr>
                <w:rFonts w:ascii="Garamond" w:hAnsi="Garamond"/>
                <w:sz w:val="24"/>
                <w:szCs w:val="24"/>
              </w:rPr>
              <w:t>o e fino a un massimo di punti 6</w:t>
            </w:r>
            <w:r w:rsidRPr="00185DAB">
              <w:rPr>
                <w:rFonts w:ascii="Garamond" w:hAnsi="Garamond"/>
                <w:sz w:val="24"/>
                <w:szCs w:val="24"/>
              </w:rPr>
              <w:t>:</w:t>
            </w:r>
          </w:p>
          <w:p w:rsidR="00F43588" w:rsidRPr="00185DAB" w:rsidRDefault="00F43588" w:rsidP="00AA3275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a)</w:t>
            </w:r>
            <w:r w:rsidRPr="00185DAB">
              <w:rPr>
                <w:rFonts w:ascii="Garamond" w:hAnsi="Garamond"/>
                <w:sz w:val="24"/>
                <w:szCs w:val="24"/>
              </w:rPr>
              <w:tab/>
              <w:t>primo premio</w:t>
            </w:r>
          </w:p>
          <w:p w:rsidR="00F43588" w:rsidRPr="00185DAB" w:rsidRDefault="00F43588" w:rsidP="00AA3275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b)</w:t>
            </w:r>
            <w:r w:rsidRPr="00185DAB">
              <w:rPr>
                <w:rFonts w:ascii="Garamond" w:hAnsi="Garamond"/>
                <w:sz w:val="24"/>
                <w:szCs w:val="24"/>
              </w:rPr>
              <w:tab/>
              <w:t>secondo premio</w:t>
            </w:r>
          </w:p>
          <w:p w:rsidR="00F43588" w:rsidRPr="00185DAB" w:rsidRDefault="00F43588" w:rsidP="00AA3275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c)</w:t>
            </w:r>
            <w:r w:rsidRPr="00185DAB">
              <w:rPr>
                <w:rFonts w:ascii="Garamond" w:hAnsi="Garamond"/>
                <w:sz w:val="24"/>
                <w:szCs w:val="24"/>
              </w:rPr>
              <w:tab/>
              <w:t>terzo premio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43588" w:rsidRPr="00185DAB" w:rsidRDefault="008D4A3F" w:rsidP="00A373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3</w:t>
            </w:r>
          </w:p>
          <w:p w:rsidR="00F43588" w:rsidRPr="00185DAB" w:rsidRDefault="008D4A3F" w:rsidP="00A373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</w:t>
            </w:r>
          </w:p>
          <w:p w:rsidR="00F43588" w:rsidRPr="00185DAB" w:rsidRDefault="008D4A3F" w:rsidP="00A373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</w:tr>
      <w:tr w:rsidR="008D4A3F" w:rsidRPr="00185DAB" w:rsidTr="006D6699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D4A3F" w:rsidRPr="00185DAB" w:rsidRDefault="008D4A3F" w:rsidP="00D151A2">
            <w:pPr>
              <w:jc w:val="center"/>
              <w:rPr>
                <w:rFonts w:ascii="Garamond" w:hAnsi="Garamond"/>
                <w:sz w:val="24"/>
                <w:szCs w:val="24"/>
              </w:rPr>
            </w:pPr>
            <w:bookmarkStart w:id="0" w:name="_GoBack"/>
            <w:r>
              <w:rPr>
                <w:rFonts w:ascii="Garamond" w:hAnsi="Garamond"/>
                <w:sz w:val="24"/>
                <w:szCs w:val="24"/>
              </w:rPr>
              <w:t>B.22</w:t>
            </w: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D4A3F" w:rsidRPr="008D4A3F" w:rsidRDefault="008D4A3F" w:rsidP="00183437">
            <w:pPr>
              <w:pStyle w:val="Default"/>
            </w:pPr>
            <w:r w:rsidRPr="008D4A3F">
              <w:t>Attività artistica, in qualità di danzatore, nei corpi di ballo degli Enti Lirico Sinfonici oppure in enti stranieri omologhi, sino ad massimo 30 punti</w:t>
            </w:r>
          </w:p>
          <w:p w:rsidR="008D4A3F" w:rsidRPr="008D4A3F" w:rsidRDefault="008D4A3F" w:rsidP="00183437">
            <w:pPr>
              <w:pStyle w:val="Default"/>
            </w:pPr>
          </w:p>
          <w:p w:rsidR="008D4A3F" w:rsidRPr="008D4A3F" w:rsidRDefault="008D4A3F" w:rsidP="00AA3275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8D4A3F">
              <w:rPr>
                <w:rFonts w:ascii="Garamond" w:hAnsi="Garamond"/>
                <w:sz w:val="24"/>
                <w:szCs w:val="24"/>
              </w:rPr>
              <w:t>Per ogni anno di attività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D4A3F" w:rsidRPr="008D4A3F" w:rsidRDefault="008D4A3F" w:rsidP="00183437">
            <w:pPr>
              <w:pStyle w:val="Default"/>
              <w:rPr>
                <w:bCs/>
              </w:rPr>
            </w:pPr>
          </w:p>
          <w:p w:rsidR="008D4A3F" w:rsidRPr="008D4A3F" w:rsidRDefault="008D4A3F" w:rsidP="00183437">
            <w:pPr>
              <w:pStyle w:val="Default"/>
              <w:rPr>
                <w:bCs/>
              </w:rPr>
            </w:pPr>
          </w:p>
          <w:p w:rsidR="008D4A3F" w:rsidRPr="008D4A3F" w:rsidRDefault="008D4A3F" w:rsidP="00183437">
            <w:pPr>
              <w:pStyle w:val="Default"/>
              <w:rPr>
                <w:bCs/>
              </w:rPr>
            </w:pPr>
          </w:p>
          <w:p w:rsidR="008D4A3F" w:rsidRPr="008D4A3F" w:rsidRDefault="008D4A3F" w:rsidP="00183437">
            <w:pPr>
              <w:pStyle w:val="Default"/>
              <w:rPr>
                <w:bCs/>
              </w:rPr>
            </w:pPr>
          </w:p>
          <w:p w:rsidR="008D4A3F" w:rsidRPr="008D4A3F" w:rsidRDefault="008D4A3F" w:rsidP="008D4A3F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8D4A3F">
              <w:rPr>
                <w:rFonts w:ascii="Garamond" w:hAnsi="Garamond"/>
                <w:b/>
                <w:bCs/>
                <w:sz w:val="24"/>
                <w:szCs w:val="24"/>
              </w:rPr>
              <w:t xml:space="preserve">5 </w:t>
            </w:r>
          </w:p>
        </w:tc>
      </w:tr>
      <w:tr w:rsidR="008D4A3F" w:rsidRPr="00185DAB" w:rsidTr="006D6699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D4A3F" w:rsidRDefault="008D4A3F" w:rsidP="00D151A2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B.23</w:t>
            </w: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D4A3F" w:rsidRPr="008D4A3F" w:rsidRDefault="008D4A3F" w:rsidP="00183437">
            <w:pPr>
              <w:pStyle w:val="Default"/>
            </w:pPr>
            <w:r w:rsidRPr="008D4A3F">
              <w:t>Attività artistica, in qualità di coreografo, nei corpi di ballo degli Enti Lirico Sinfonici oppure in enti stranieri omologhi, sino ad massimo 30 punti</w:t>
            </w:r>
          </w:p>
          <w:p w:rsidR="008D4A3F" w:rsidRPr="008D4A3F" w:rsidRDefault="008D4A3F" w:rsidP="00183437">
            <w:pPr>
              <w:pStyle w:val="Default"/>
            </w:pPr>
          </w:p>
          <w:p w:rsidR="008D4A3F" w:rsidRPr="008D4A3F" w:rsidRDefault="008D4A3F" w:rsidP="00183437">
            <w:pPr>
              <w:pStyle w:val="Default"/>
            </w:pPr>
            <w:r w:rsidRPr="008D4A3F">
              <w:t>Per ogni attività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D4A3F" w:rsidRPr="006668DB" w:rsidRDefault="008D4A3F" w:rsidP="00183437">
            <w:pPr>
              <w:pStyle w:val="Default"/>
              <w:rPr>
                <w:bCs/>
                <w:sz w:val="22"/>
                <w:szCs w:val="22"/>
              </w:rPr>
            </w:pPr>
          </w:p>
          <w:p w:rsidR="008D4A3F" w:rsidRPr="006668DB" w:rsidRDefault="008D4A3F" w:rsidP="00183437">
            <w:pPr>
              <w:pStyle w:val="Default"/>
              <w:rPr>
                <w:bCs/>
                <w:sz w:val="22"/>
                <w:szCs w:val="22"/>
              </w:rPr>
            </w:pPr>
          </w:p>
          <w:p w:rsidR="008D4A3F" w:rsidRPr="006668DB" w:rsidRDefault="008D4A3F" w:rsidP="00183437">
            <w:pPr>
              <w:pStyle w:val="Default"/>
              <w:rPr>
                <w:bCs/>
                <w:sz w:val="22"/>
                <w:szCs w:val="22"/>
              </w:rPr>
            </w:pPr>
          </w:p>
          <w:p w:rsidR="008D4A3F" w:rsidRPr="006668DB" w:rsidRDefault="008D4A3F" w:rsidP="00183437">
            <w:pPr>
              <w:pStyle w:val="Default"/>
              <w:rPr>
                <w:bCs/>
                <w:sz w:val="22"/>
                <w:szCs w:val="22"/>
              </w:rPr>
            </w:pPr>
          </w:p>
          <w:p w:rsidR="008D4A3F" w:rsidRPr="008D4A3F" w:rsidRDefault="008D4A3F" w:rsidP="008D4A3F">
            <w:pPr>
              <w:pStyle w:val="Default"/>
              <w:jc w:val="right"/>
              <w:rPr>
                <w:b/>
                <w:bCs/>
              </w:rPr>
            </w:pPr>
            <w:r w:rsidRPr="008D4A3F">
              <w:rPr>
                <w:b/>
                <w:bCs/>
                <w:sz w:val="22"/>
                <w:szCs w:val="22"/>
              </w:rPr>
              <w:t xml:space="preserve">3 </w:t>
            </w:r>
          </w:p>
        </w:tc>
      </w:tr>
      <w:bookmarkEnd w:id="0"/>
      <w:tr w:rsidR="00F43588" w:rsidRPr="00185DAB" w:rsidTr="00F43588">
        <w:tc>
          <w:tcPr>
            <w:tcW w:w="9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6C2B45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85DAB">
              <w:rPr>
                <w:rFonts w:ascii="Garamond" w:hAnsi="Garamond"/>
                <w:b/>
                <w:sz w:val="24"/>
                <w:szCs w:val="24"/>
              </w:rPr>
              <w:t>C</w:t>
            </w:r>
          </w:p>
        </w:tc>
        <w:tc>
          <w:tcPr>
            <w:tcW w:w="59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0A32A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85DAB">
              <w:rPr>
                <w:rFonts w:ascii="Garamond" w:hAnsi="Garamond"/>
                <w:b/>
                <w:sz w:val="24"/>
                <w:szCs w:val="24"/>
              </w:rPr>
              <w:t xml:space="preserve">Titoli di servizio </w:t>
            </w:r>
          </w:p>
        </w:tc>
        <w:tc>
          <w:tcPr>
            <w:tcW w:w="17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43588" w:rsidRPr="00185DAB" w:rsidRDefault="00F43588" w:rsidP="005B1B29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F43588" w:rsidRPr="00185DAB" w:rsidTr="00F43588">
        <w:tc>
          <w:tcPr>
            <w:tcW w:w="983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6C2B45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C.1</w:t>
            </w:r>
          </w:p>
        </w:tc>
        <w:tc>
          <w:tcPr>
            <w:tcW w:w="5964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6C2B45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Servizio di insegnamento prestato sulla specifica classe di concorso o su posti di sostegno agli alunni con disabilità sullo specifico grado</w:t>
            </w:r>
          </w:p>
          <w:p w:rsidR="00F43588" w:rsidRPr="00185DAB" w:rsidRDefault="00F43588" w:rsidP="006C2B45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 xml:space="preserve">a) nelle istituzioni scolastiche del sistema nazionale di istruzione, nelle istituzioni statali e paritarie all’estero e nelle scuole militari; </w:t>
            </w:r>
          </w:p>
          <w:p w:rsidR="00F43588" w:rsidRPr="00185DAB" w:rsidRDefault="00F43588" w:rsidP="006C2B45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 xml:space="preserve">b) nell’ambito dei percorsi in diritto/dovere all’istruzione di cui all’articolo 1, comma 3, del decreto legislativo 15 aprile 2005, n. 76, relativi al sistema di istruzione e formazione professionale, purché, nel caso dei predetti percorsi, il relativo servizio sia stato svolto per la tipologia di posto o gli insegnamenti riconducibili alla specifica classe di concorso; </w:t>
            </w:r>
          </w:p>
          <w:p w:rsidR="00F43588" w:rsidRPr="00185DAB" w:rsidRDefault="00F43588" w:rsidP="006C2B45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 xml:space="preserve">c) nelle forme di cui al comma 3 dell’articolo 1 del decreto-legge 25 settembre 2009, n. 134, convertito, con </w:t>
            </w:r>
            <w:r w:rsidRPr="00185DAB">
              <w:rPr>
                <w:rFonts w:ascii="Garamond" w:hAnsi="Garamond"/>
                <w:sz w:val="24"/>
                <w:szCs w:val="24"/>
              </w:rPr>
              <w:lastRenderedPageBreak/>
              <w:t xml:space="preserve">modificazioni, dalla legge 24 novembre 2009, n. 167, nonché di cui al comma 4-bis dell’articolo 5 del decreto-legge 12 settembre 2013, n. 104, convertito, con modificazioni, dalla legge 8 novembre 2013, n. 128; </w:t>
            </w:r>
          </w:p>
          <w:p w:rsidR="00F43588" w:rsidRPr="00185DAB" w:rsidRDefault="00F43588" w:rsidP="006C2B45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d) nei percorsi di istruzione dei Paesi esteri o di scuole a ordinamento estero in Italia, riconosciute dai rispettivi Paesi, riconducibile alla specificità del posto o della classe di concorso.</w:t>
            </w:r>
          </w:p>
          <w:p w:rsidR="00F43588" w:rsidRPr="00185DAB" w:rsidRDefault="00F43588" w:rsidP="006C2B45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Sono attribuiti, per ciascun mese o frazione di almeno 16 giorni</w:t>
            </w:r>
          </w:p>
        </w:tc>
        <w:tc>
          <w:tcPr>
            <w:tcW w:w="1753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43588" w:rsidRPr="00185DAB" w:rsidRDefault="00F43588" w:rsidP="002D6A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185DAB">
              <w:rPr>
                <w:rFonts w:ascii="Garamond" w:hAnsi="Garamond"/>
                <w:b/>
                <w:sz w:val="24"/>
                <w:szCs w:val="24"/>
              </w:rPr>
              <w:lastRenderedPageBreak/>
              <w:t xml:space="preserve"> 2</w:t>
            </w:r>
          </w:p>
        </w:tc>
      </w:tr>
      <w:tr w:rsidR="00F43588" w:rsidRPr="00185DAB" w:rsidTr="00F43588">
        <w:tc>
          <w:tcPr>
            <w:tcW w:w="98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6C2B45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5964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6C2B45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185DAB">
              <w:rPr>
                <w:rFonts w:ascii="Garamond" w:hAnsi="Garamond"/>
                <w:bCs/>
                <w:sz w:val="24"/>
                <w:szCs w:val="24"/>
              </w:rPr>
              <w:t>Sino a un massimo, per ciascun anno scolastico, di</w:t>
            </w:r>
          </w:p>
        </w:tc>
        <w:tc>
          <w:tcPr>
            <w:tcW w:w="175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43588" w:rsidRPr="00185DAB" w:rsidRDefault="00F43588" w:rsidP="002D6A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185DAB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F43588" w:rsidRPr="00185DAB" w:rsidTr="00F43588">
        <w:tc>
          <w:tcPr>
            <w:tcW w:w="98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6C2B45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5964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2D6AC9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185DAB">
              <w:rPr>
                <w:rFonts w:ascii="Garamond" w:hAnsi="Garamond"/>
                <w:bCs/>
                <w:sz w:val="24"/>
                <w:szCs w:val="24"/>
              </w:rPr>
              <w:t>Il</w:t>
            </w:r>
            <w:r w:rsidRPr="00185DAB">
              <w:rPr>
                <w:rFonts w:ascii="Garamond" w:hAnsi="Garamond"/>
                <w:sz w:val="24"/>
                <w:szCs w:val="24"/>
              </w:rPr>
              <w:t xml:space="preserve"> servizio prestato ai sensi dell’articolo 11, comma 14, della legge 3 maggio 1999, n. 124, è comunque valutato</w:t>
            </w:r>
          </w:p>
        </w:tc>
        <w:tc>
          <w:tcPr>
            <w:tcW w:w="175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43588" w:rsidRPr="00185DAB" w:rsidRDefault="00F43588" w:rsidP="002D6A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185DAB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F43588" w:rsidRPr="00185DAB" w:rsidTr="00F43588">
        <w:tc>
          <w:tcPr>
            <w:tcW w:w="983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43436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C.2</w:t>
            </w:r>
          </w:p>
        </w:tc>
        <w:tc>
          <w:tcPr>
            <w:tcW w:w="5964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43436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Servizio di insegnamento prestato su a</w:t>
            </w:r>
            <w:r w:rsidRPr="00DD50E9">
              <w:rPr>
                <w:rFonts w:ascii="Garamond" w:hAnsi="Garamond"/>
                <w:sz w:val="24"/>
                <w:szCs w:val="24"/>
              </w:rPr>
              <w:t>ltra classe di concorso</w:t>
            </w:r>
            <w:r w:rsidR="001A7535" w:rsidRPr="00DD50E9">
              <w:rPr>
                <w:rFonts w:ascii="Garamond" w:hAnsi="Garamond"/>
                <w:sz w:val="24"/>
                <w:szCs w:val="24"/>
              </w:rPr>
              <w:t xml:space="preserve"> o su altro </w:t>
            </w:r>
            <w:r w:rsidR="00DD50E9" w:rsidRPr="00DD50E9">
              <w:rPr>
                <w:rFonts w:ascii="Garamond" w:hAnsi="Garamond"/>
                <w:sz w:val="24"/>
                <w:szCs w:val="24"/>
              </w:rPr>
              <w:t>posto anche di altro grado</w:t>
            </w:r>
          </w:p>
          <w:p w:rsidR="00F43588" w:rsidRPr="00185DAB" w:rsidRDefault="00F43588" w:rsidP="0043436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a) nelle scuole del sistema nazionale di istruzione, nelle istituzioni statali e paritarie all’estero e nelle scuole militari;</w:t>
            </w:r>
          </w:p>
          <w:p w:rsidR="00F43588" w:rsidRPr="00185DAB" w:rsidRDefault="00F43588" w:rsidP="0043436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 xml:space="preserve">b) nell’ambito dei percorsi in diritto/dovere all’istruzione di cui all’articolo 1, comma 3, del decreto legislativo 15 aprile 2005, n. 76, relativi al sistema di istruzione e formazione professionale, purché, nel caso dei predetti percorsi, il relativo servizio sia stato svolto su altra tipologia di posto o insegnamenti riconducibili ad altra classe di concorso; </w:t>
            </w:r>
          </w:p>
          <w:p w:rsidR="00F43588" w:rsidRPr="00185DAB" w:rsidRDefault="00F43588" w:rsidP="0043436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 xml:space="preserve">c) nelle forme di cui al comma 3 dell’articolo 1 del decreto-legge 25 settembre 2009, n. 134, convertito, con modificazioni, dalla legge 24 novembre 2009, n. 167, nonché di cui al comma 4-bis dell’articolo 5 del decreto-legge 12 settembre 2013, n. 104, convertito, con modificazioni, dalla legge 8 novembre 2013, n. 128; </w:t>
            </w:r>
          </w:p>
          <w:p w:rsidR="00F43588" w:rsidRPr="00185DAB" w:rsidRDefault="00F43588" w:rsidP="008555AB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d) nei percorsi di istruzione dei Paesi esteri o di scuole a ordinamento estero in Italia, riconosciute dai rispettivi Paesi, non riconducibile alla specificità del posto di sostegno o del grado.</w:t>
            </w:r>
          </w:p>
          <w:p w:rsidR="00F43588" w:rsidRPr="00185DAB" w:rsidRDefault="00F43588" w:rsidP="0043436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Sono attribuiti, per ciascun mese o frazione di almeno 16 giorni</w:t>
            </w:r>
          </w:p>
        </w:tc>
        <w:tc>
          <w:tcPr>
            <w:tcW w:w="1753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43588" w:rsidRPr="00185DAB" w:rsidRDefault="00F43588" w:rsidP="00465EC5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185DAB">
              <w:rPr>
                <w:rFonts w:ascii="Garamond" w:hAnsi="Garamond"/>
                <w:b/>
                <w:sz w:val="24"/>
                <w:szCs w:val="24"/>
              </w:rPr>
              <w:t xml:space="preserve"> 1</w:t>
            </w:r>
          </w:p>
        </w:tc>
      </w:tr>
      <w:tr w:rsidR="00F43588" w:rsidRPr="00185DAB" w:rsidTr="00F43588">
        <w:tc>
          <w:tcPr>
            <w:tcW w:w="98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434369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5964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434369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185DAB">
              <w:rPr>
                <w:rFonts w:ascii="Garamond" w:hAnsi="Garamond"/>
                <w:bCs/>
                <w:sz w:val="24"/>
                <w:szCs w:val="24"/>
              </w:rPr>
              <w:t>Sino a un massimo, per ciascun anno scolastico, di</w:t>
            </w:r>
          </w:p>
        </w:tc>
        <w:tc>
          <w:tcPr>
            <w:tcW w:w="1753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43588" w:rsidRPr="00185DAB" w:rsidRDefault="00F43588" w:rsidP="0043436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185DAB"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</w:tr>
      <w:tr w:rsidR="00F43588" w:rsidRPr="00185DAB" w:rsidTr="00F43588">
        <w:tc>
          <w:tcPr>
            <w:tcW w:w="983" w:type="dxa"/>
            <w:tcBorders>
              <w:top w:val="nil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434369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5964" w:type="dxa"/>
            <w:tcBorders>
              <w:top w:val="nil"/>
              <w:bottom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AE6615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185DAB">
              <w:rPr>
                <w:rFonts w:ascii="Garamond" w:hAnsi="Garamond"/>
                <w:bCs/>
                <w:sz w:val="24"/>
                <w:szCs w:val="24"/>
              </w:rPr>
              <w:t>Il</w:t>
            </w:r>
            <w:r w:rsidRPr="00185DAB">
              <w:rPr>
                <w:rFonts w:ascii="Garamond" w:hAnsi="Garamond"/>
                <w:sz w:val="24"/>
                <w:szCs w:val="24"/>
              </w:rPr>
              <w:t xml:space="preserve"> servizio prestato ai sensi dell’articolo 11, comma 14, della legge 3 maggio 1999, n. 124, è comunque valutato</w:t>
            </w:r>
          </w:p>
        </w:tc>
        <w:tc>
          <w:tcPr>
            <w:tcW w:w="1753" w:type="dxa"/>
            <w:tcBorders>
              <w:top w:val="nil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43588" w:rsidRPr="00185DAB" w:rsidRDefault="00F43588" w:rsidP="0043436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185DAB"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</w:tr>
      <w:tr w:rsidR="00F43588" w:rsidRPr="006B458A" w:rsidTr="00F43588">
        <w:tc>
          <w:tcPr>
            <w:tcW w:w="983" w:type="dxa"/>
            <w:tcBorders>
              <w:top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4A1DD8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 xml:space="preserve">NOTE </w:t>
            </w:r>
          </w:p>
          <w:p w:rsidR="00F43588" w:rsidRPr="00185DAB" w:rsidRDefault="00F43588" w:rsidP="004A1DD8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lastRenderedPageBreak/>
              <w:t>al servizio</w:t>
            </w:r>
          </w:p>
        </w:tc>
        <w:tc>
          <w:tcPr>
            <w:tcW w:w="5964" w:type="dxa"/>
            <w:tcBorders>
              <w:top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588" w:rsidRPr="00185DAB" w:rsidRDefault="00F43588" w:rsidP="006B458A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185DAB">
              <w:rPr>
                <w:rFonts w:ascii="Garamond" w:hAnsi="Garamond"/>
                <w:bCs/>
                <w:sz w:val="24"/>
                <w:szCs w:val="24"/>
              </w:rPr>
              <w:lastRenderedPageBreak/>
              <w:t xml:space="preserve">Il servizio prestato durante la frequenza dei percorsi di cui al </w:t>
            </w:r>
            <w:r w:rsidRPr="00185DAB">
              <w:rPr>
                <w:rFonts w:ascii="Garamond" w:hAnsi="Garamond"/>
                <w:bCs/>
                <w:sz w:val="24"/>
                <w:szCs w:val="24"/>
              </w:rPr>
              <w:lastRenderedPageBreak/>
              <w:t>punto A.2 non è valutato, essendo già ricompreso nella valutazione del titolo in ragione di 12 punti annuali.</w:t>
            </w:r>
          </w:p>
          <w:p w:rsidR="00F43588" w:rsidRPr="006B458A" w:rsidRDefault="00F43588" w:rsidP="00465EC5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185DAB">
              <w:rPr>
                <w:rFonts w:ascii="Garamond" w:hAnsi="Garamond"/>
                <w:sz w:val="24"/>
                <w:szCs w:val="24"/>
              </w:rPr>
              <w:t>Il servizio prestato dall’</w:t>
            </w:r>
            <w:proofErr w:type="spellStart"/>
            <w:r w:rsidRPr="00185DAB">
              <w:rPr>
                <w:rFonts w:ascii="Garamond" w:hAnsi="Garamond"/>
                <w:sz w:val="24"/>
                <w:szCs w:val="24"/>
              </w:rPr>
              <w:t>a.s.</w:t>
            </w:r>
            <w:proofErr w:type="spellEnd"/>
            <w:r w:rsidRPr="00185DAB">
              <w:rPr>
                <w:rFonts w:ascii="Garamond" w:hAnsi="Garamond"/>
                <w:sz w:val="24"/>
                <w:szCs w:val="24"/>
              </w:rPr>
              <w:t xml:space="preserve"> 2003/04 all’</w:t>
            </w:r>
            <w:proofErr w:type="spellStart"/>
            <w:r w:rsidRPr="00185DAB">
              <w:rPr>
                <w:rFonts w:ascii="Garamond" w:hAnsi="Garamond"/>
                <w:sz w:val="24"/>
                <w:szCs w:val="24"/>
              </w:rPr>
              <w:t>a.s.</w:t>
            </w:r>
            <w:proofErr w:type="spellEnd"/>
            <w:r w:rsidRPr="00185DAB">
              <w:rPr>
                <w:rFonts w:ascii="Garamond" w:hAnsi="Garamond"/>
                <w:sz w:val="24"/>
                <w:szCs w:val="24"/>
              </w:rPr>
              <w:t xml:space="preserve"> 2006/07 nelle scuole pluriclassi dei Comuni di montagna, di cui alla legge 1° marzo 1957, n. 90, nonché nelle scuole delle isole minori e degli istituti penitenziari è valutato in misura doppia.</w:t>
            </w:r>
          </w:p>
        </w:tc>
        <w:tc>
          <w:tcPr>
            <w:tcW w:w="1753" w:type="dxa"/>
            <w:tcBorders>
              <w:top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43588" w:rsidRPr="006B458A" w:rsidRDefault="00F43588" w:rsidP="002D6AC9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</w:tbl>
    <w:p w:rsidR="00DA21B4" w:rsidRPr="00277F8B" w:rsidRDefault="00DA21B4" w:rsidP="00A373C9">
      <w:pPr>
        <w:spacing w:line="276" w:lineRule="auto"/>
        <w:ind w:left="4956"/>
        <w:jc w:val="center"/>
        <w:rPr>
          <w:rFonts w:ascii="Times New Roman" w:hAnsi="Times New Roman"/>
          <w:i/>
          <w:sz w:val="24"/>
          <w:szCs w:val="24"/>
        </w:rPr>
      </w:pPr>
    </w:p>
    <w:sectPr w:rsidR="00DA21B4" w:rsidRPr="00277F8B" w:rsidSect="00BE2F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6FF9F76" w15:done="0"/>
  <w15:commentEx w15:paraId="0B8E88D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739D7" w16cex:dateUtc="2020-06-19T11:19:00Z"/>
  <w16cex:commentExtensible w16cex:durableId="2299DC6B" w16cex:dateUtc="2020-06-21T11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6FF9F76" w16cid:durableId="229739D7"/>
  <w16cid:commentId w16cid:paraId="0B8E88DE" w16cid:durableId="2299DC6B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84F" w:rsidRDefault="005B184F">
      <w:r>
        <w:separator/>
      </w:r>
    </w:p>
  </w:endnote>
  <w:endnote w:type="continuationSeparator" w:id="0">
    <w:p w:rsidR="005B184F" w:rsidRDefault="005B18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glish111 Adagio BT">
    <w:altName w:val="Mistral"/>
    <w:charset w:val="00"/>
    <w:family w:val="script"/>
    <w:pitch w:val="variable"/>
    <w:sig w:usb0="00000001" w:usb1="00000000" w:usb2="00000000" w:usb3="00000000" w:csb0="0000001B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Futura Std Light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92E" w:rsidRDefault="007F192E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92E" w:rsidRDefault="007F192E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92E" w:rsidRDefault="007F192E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84F" w:rsidRDefault="005B184F">
      <w:r>
        <w:separator/>
      </w:r>
    </w:p>
  </w:footnote>
  <w:footnote w:type="continuationSeparator" w:id="0">
    <w:p w:rsidR="005B184F" w:rsidRDefault="005B18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92E" w:rsidRDefault="00351690">
    <w:pPr>
      <w:pStyle w:val="Intestazion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998750" o:spid="_x0000_s2051" type="#_x0000_t136" alt="" style="position:absolute;margin-left:0;margin-top:0;width:509.55pt;height:169.85pt;rotation:315;z-index:-251655168;mso-wrap-edited:f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BOZZA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B45" w:rsidRPr="008C735B" w:rsidRDefault="00351690" w:rsidP="00BF36B0">
    <w:pPr>
      <w:tabs>
        <w:tab w:val="center" w:pos="4819"/>
        <w:tab w:val="right" w:pos="9638"/>
      </w:tabs>
      <w:jc w:val="center"/>
      <w:textAlignment w:val="baseline"/>
      <w:rPr>
        <w:rFonts w:ascii="Times New Roman" w:hAnsi="Times New Roman"/>
        <w:sz w:val="20"/>
      </w:rPr>
    </w:pPr>
    <w:r w:rsidRPr="00351690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998751" o:spid="_x0000_s2050" type="#_x0000_t136" alt="" style="position:absolute;left:0;text-align:left;margin-left:0;margin-top:0;width:509.55pt;height:306.65pt;rotation:315;z-index:-251653120;mso-wrap-edited:f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BOZZA"/>
          <w10:wrap anchorx="margin" anchory="margin"/>
        </v:shape>
      </w:pict>
    </w:r>
    <w:r w:rsidR="006C2B45">
      <w:rPr>
        <w:rFonts w:ascii="Times New Roman" w:hAnsi="Times New Roman"/>
        <w:noProof/>
        <w:sz w:val="20"/>
      </w:rPr>
      <w:drawing>
        <wp:inline distT="0" distB="0" distL="0" distR="0">
          <wp:extent cx="514350" cy="571500"/>
          <wp:effectExtent l="0" t="0" r="0" b="0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2B45" w:rsidRPr="00C725BC" w:rsidRDefault="006C2B45" w:rsidP="008309A7">
    <w:pPr>
      <w:spacing w:line="680" w:lineRule="exact"/>
      <w:ind w:left="-567" w:right="-567"/>
      <w:jc w:val="center"/>
      <w:textAlignment w:val="baseline"/>
      <w:rPr>
        <w:rFonts w:ascii="Kunstler Script" w:hAnsi="Kunstler Script"/>
        <w:sz w:val="52"/>
      </w:rPr>
    </w:pPr>
    <w:r w:rsidRPr="00C725BC">
      <w:rPr>
        <w:rFonts w:ascii="Kunstler Script" w:hAnsi="Kunstler Script"/>
        <w:sz w:val="52"/>
      </w:rPr>
      <w:t>Ministero dell</w:t>
    </w:r>
    <w:r w:rsidR="00AE431E">
      <w:rPr>
        <w:rFonts w:ascii="Kunstler Script" w:hAnsi="Kunstler Script"/>
        <w:sz w:val="52"/>
      </w:rPr>
      <w:t>’</w:t>
    </w:r>
    <w:r w:rsidRPr="00C725BC">
      <w:rPr>
        <w:rFonts w:ascii="Kunstler Script" w:hAnsi="Kunstler Script"/>
        <w:sz w:val="52"/>
      </w:rPr>
      <w:t>Istruzione, dell</w:t>
    </w:r>
    <w:r w:rsidR="00AE431E">
      <w:rPr>
        <w:rFonts w:ascii="Kunstler Script" w:hAnsi="Kunstler Script"/>
        <w:sz w:val="52"/>
      </w:rPr>
      <w:t>’</w:t>
    </w:r>
    <w:r w:rsidRPr="00C725BC">
      <w:rPr>
        <w:rFonts w:ascii="Kunstler Script" w:hAnsi="Kunstler Script"/>
        <w:sz w:val="52"/>
      </w:rPr>
      <w:t>Università e della Ricerca</w:t>
    </w:r>
  </w:p>
  <w:p w:rsidR="006C2B45" w:rsidRPr="00C725BC" w:rsidRDefault="006C2B45" w:rsidP="00BF36B0">
    <w:pPr>
      <w:tabs>
        <w:tab w:val="center" w:pos="4819"/>
        <w:tab w:val="right" w:pos="9638"/>
      </w:tabs>
      <w:spacing w:line="480" w:lineRule="exact"/>
      <w:jc w:val="center"/>
      <w:textAlignment w:val="baseline"/>
      <w:rPr>
        <w:rFonts w:ascii="Kunstler Script" w:hAnsi="Kunstler Script"/>
        <w:sz w:val="40"/>
        <w:szCs w:val="40"/>
      </w:rPr>
    </w:pPr>
    <w:r w:rsidRPr="00C725BC">
      <w:rPr>
        <w:rFonts w:ascii="Kunstler Script" w:hAnsi="Kunstler Script"/>
        <w:sz w:val="40"/>
        <w:szCs w:val="40"/>
      </w:rPr>
      <w:t>Dipartimento per il sistema educativo di istruzione e di formazione</w:t>
    </w:r>
  </w:p>
  <w:p w:rsidR="006C2B45" w:rsidRPr="00C725BC" w:rsidRDefault="006C2B45" w:rsidP="00BF36B0">
    <w:pPr>
      <w:tabs>
        <w:tab w:val="center" w:pos="4819"/>
        <w:tab w:val="right" w:pos="9638"/>
      </w:tabs>
      <w:spacing w:line="480" w:lineRule="exact"/>
      <w:jc w:val="center"/>
      <w:textAlignment w:val="baseline"/>
      <w:rPr>
        <w:rFonts w:ascii="Kunstler Script" w:hAnsi="Kunstler Script"/>
        <w:sz w:val="32"/>
      </w:rPr>
    </w:pPr>
    <w:r w:rsidRPr="00C725BC">
      <w:rPr>
        <w:rFonts w:ascii="Kunstler Script" w:hAnsi="Kunstler Script"/>
        <w:sz w:val="32"/>
      </w:rPr>
      <w:t>Direzione generale per il personale scolastico</w:t>
    </w:r>
  </w:p>
  <w:p w:rsidR="006C2B45" w:rsidRPr="00CC78C2" w:rsidRDefault="006C2B45" w:rsidP="00CC78C2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92E" w:rsidRDefault="00351690">
    <w:pPr>
      <w:pStyle w:val="Intestazion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998749" o:spid="_x0000_s2049" type="#_x0000_t136" alt="" style="position:absolute;margin-left:0;margin-top:0;width:509.55pt;height:169.85pt;rotation:315;z-index:-251657216;mso-wrap-edited:f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BOZZA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AFAD2D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9D4702"/>
    <w:multiLevelType w:val="hybridMultilevel"/>
    <w:tmpl w:val="02A6D7C0"/>
    <w:lvl w:ilvl="0" w:tplc="C6AA16C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0EF343E6"/>
    <w:multiLevelType w:val="hybridMultilevel"/>
    <w:tmpl w:val="AF107C2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FD21F9"/>
    <w:multiLevelType w:val="hybridMultilevel"/>
    <w:tmpl w:val="4C4A1292"/>
    <w:lvl w:ilvl="0" w:tplc="E0F832EE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0293743"/>
    <w:multiLevelType w:val="hybridMultilevel"/>
    <w:tmpl w:val="75BC1116"/>
    <w:lvl w:ilvl="0" w:tplc="5D3C6382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6">
    <w:nsid w:val="11A646C4"/>
    <w:multiLevelType w:val="hybridMultilevel"/>
    <w:tmpl w:val="1270A606"/>
    <w:lvl w:ilvl="0" w:tplc="5D3C638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16447126"/>
    <w:multiLevelType w:val="hybridMultilevel"/>
    <w:tmpl w:val="CF4E7B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B41B18"/>
    <w:multiLevelType w:val="hybridMultilevel"/>
    <w:tmpl w:val="6C5694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DC301D"/>
    <w:multiLevelType w:val="hybridMultilevel"/>
    <w:tmpl w:val="0EC4DCD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F78029D"/>
    <w:multiLevelType w:val="hybridMultilevel"/>
    <w:tmpl w:val="D9704E4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452225"/>
    <w:multiLevelType w:val="hybridMultilevel"/>
    <w:tmpl w:val="5C709C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2650F3"/>
    <w:multiLevelType w:val="hybridMultilevel"/>
    <w:tmpl w:val="7988B82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88407F"/>
    <w:multiLevelType w:val="hybridMultilevel"/>
    <w:tmpl w:val="305ECE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40080F"/>
    <w:multiLevelType w:val="hybridMultilevel"/>
    <w:tmpl w:val="A37AF7A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C91BA8"/>
    <w:multiLevelType w:val="hybridMultilevel"/>
    <w:tmpl w:val="1CB2245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027467"/>
    <w:multiLevelType w:val="hybridMultilevel"/>
    <w:tmpl w:val="98ACA6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D1535C"/>
    <w:multiLevelType w:val="hybridMultilevel"/>
    <w:tmpl w:val="B5A63D4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F80473"/>
    <w:multiLevelType w:val="hybridMultilevel"/>
    <w:tmpl w:val="2ED88A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D6621F"/>
    <w:multiLevelType w:val="hybridMultilevel"/>
    <w:tmpl w:val="DD3A7D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4E3CCD"/>
    <w:multiLevelType w:val="hybridMultilevel"/>
    <w:tmpl w:val="2542BAC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8A1EF2"/>
    <w:multiLevelType w:val="hybridMultilevel"/>
    <w:tmpl w:val="1948583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910B8F"/>
    <w:multiLevelType w:val="hybridMultilevel"/>
    <w:tmpl w:val="32F66B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7671B9"/>
    <w:multiLevelType w:val="hybridMultilevel"/>
    <w:tmpl w:val="808266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AF1205"/>
    <w:multiLevelType w:val="hybridMultilevel"/>
    <w:tmpl w:val="8CB8F1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452E97"/>
    <w:multiLevelType w:val="hybridMultilevel"/>
    <w:tmpl w:val="02A6D7C0"/>
    <w:lvl w:ilvl="0" w:tplc="C6AA16C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>
    <w:nsid w:val="552409C6"/>
    <w:multiLevelType w:val="hybridMultilevel"/>
    <w:tmpl w:val="61F683CC"/>
    <w:lvl w:ilvl="0" w:tplc="0410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9E033DC"/>
    <w:multiLevelType w:val="hybridMultilevel"/>
    <w:tmpl w:val="E208C8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1930A5"/>
    <w:multiLevelType w:val="hybridMultilevel"/>
    <w:tmpl w:val="AE14B55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2F360A2"/>
    <w:multiLevelType w:val="hybridMultilevel"/>
    <w:tmpl w:val="9C6EB49A"/>
    <w:lvl w:ilvl="0" w:tplc="05BE84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B8172F"/>
    <w:multiLevelType w:val="hybridMultilevel"/>
    <w:tmpl w:val="46B6057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C3C1A63"/>
    <w:multiLevelType w:val="hybridMultilevel"/>
    <w:tmpl w:val="F48E7A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C70563"/>
    <w:multiLevelType w:val="hybridMultilevel"/>
    <w:tmpl w:val="B53E89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9D75C9"/>
    <w:multiLevelType w:val="hybridMultilevel"/>
    <w:tmpl w:val="A83CB98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D2658B"/>
    <w:multiLevelType w:val="hybridMultilevel"/>
    <w:tmpl w:val="69B0DC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523463"/>
    <w:multiLevelType w:val="hybridMultilevel"/>
    <w:tmpl w:val="CF4E7B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A208BE"/>
    <w:multiLevelType w:val="hybridMultilevel"/>
    <w:tmpl w:val="1340F0B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A2644D0"/>
    <w:multiLevelType w:val="hybridMultilevel"/>
    <w:tmpl w:val="A40C13CA"/>
    <w:lvl w:ilvl="0" w:tplc="916C6B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BA7CCC"/>
    <w:multiLevelType w:val="hybridMultilevel"/>
    <w:tmpl w:val="02A6D7C0"/>
    <w:lvl w:ilvl="0" w:tplc="C6AA16C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9">
    <w:nsid w:val="7B444473"/>
    <w:multiLevelType w:val="hybridMultilevel"/>
    <w:tmpl w:val="44443A7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F67309"/>
    <w:multiLevelType w:val="hybridMultilevel"/>
    <w:tmpl w:val="C78E16D6"/>
    <w:lvl w:ilvl="0" w:tplc="04100017">
      <w:start w:val="3"/>
      <w:numFmt w:val="lowerLetter"/>
      <w:lvlText w:val="%1)"/>
      <w:lvlJc w:val="left"/>
      <w:pPr>
        <w:ind w:left="37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97" w:hanging="360"/>
      </w:pPr>
    </w:lvl>
    <w:lvl w:ilvl="2" w:tplc="0410001B" w:tentative="1">
      <w:start w:val="1"/>
      <w:numFmt w:val="lowerRoman"/>
      <w:lvlText w:val="%3."/>
      <w:lvlJc w:val="right"/>
      <w:pPr>
        <w:ind w:left="1817" w:hanging="180"/>
      </w:pPr>
    </w:lvl>
    <w:lvl w:ilvl="3" w:tplc="0410000F" w:tentative="1">
      <w:start w:val="1"/>
      <w:numFmt w:val="decimal"/>
      <w:lvlText w:val="%4."/>
      <w:lvlJc w:val="left"/>
      <w:pPr>
        <w:ind w:left="2537" w:hanging="360"/>
      </w:pPr>
    </w:lvl>
    <w:lvl w:ilvl="4" w:tplc="04100019" w:tentative="1">
      <w:start w:val="1"/>
      <w:numFmt w:val="lowerLetter"/>
      <w:lvlText w:val="%5."/>
      <w:lvlJc w:val="left"/>
      <w:pPr>
        <w:ind w:left="3257" w:hanging="360"/>
      </w:pPr>
    </w:lvl>
    <w:lvl w:ilvl="5" w:tplc="0410001B" w:tentative="1">
      <w:start w:val="1"/>
      <w:numFmt w:val="lowerRoman"/>
      <w:lvlText w:val="%6."/>
      <w:lvlJc w:val="right"/>
      <w:pPr>
        <w:ind w:left="3977" w:hanging="180"/>
      </w:pPr>
    </w:lvl>
    <w:lvl w:ilvl="6" w:tplc="0410000F" w:tentative="1">
      <w:start w:val="1"/>
      <w:numFmt w:val="decimal"/>
      <w:lvlText w:val="%7."/>
      <w:lvlJc w:val="left"/>
      <w:pPr>
        <w:ind w:left="4697" w:hanging="360"/>
      </w:pPr>
    </w:lvl>
    <w:lvl w:ilvl="7" w:tplc="04100019" w:tentative="1">
      <w:start w:val="1"/>
      <w:numFmt w:val="lowerLetter"/>
      <w:lvlText w:val="%8."/>
      <w:lvlJc w:val="left"/>
      <w:pPr>
        <w:ind w:left="5417" w:hanging="360"/>
      </w:pPr>
    </w:lvl>
    <w:lvl w:ilvl="8" w:tplc="0410001B" w:tentative="1">
      <w:start w:val="1"/>
      <w:numFmt w:val="lowerRoman"/>
      <w:lvlText w:val="%9."/>
      <w:lvlJc w:val="right"/>
      <w:pPr>
        <w:ind w:left="6137" w:hanging="180"/>
      </w:pPr>
    </w:lvl>
  </w:abstractNum>
  <w:num w:numId="1">
    <w:abstractNumId w:val="5"/>
  </w:num>
  <w:num w:numId="2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</w:num>
  <w:num w:numId="5">
    <w:abstractNumId w:val="16"/>
  </w:num>
  <w:num w:numId="6">
    <w:abstractNumId w:val="1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  <w:color w:val="00000F"/>
        </w:rPr>
      </w:lvl>
    </w:lvlOverride>
  </w:num>
  <w:num w:numId="10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  <w:color w:val="28303A"/>
        </w:rPr>
      </w:lvl>
    </w:lvlOverride>
  </w:num>
  <w:num w:numId="11">
    <w:abstractNumId w:val="9"/>
  </w:num>
  <w:num w:numId="12">
    <w:abstractNumId w:val="40"/>
  </w:num>
  <w:num w:numId="13">
    <w:abstractNumId w:val="24"/>
  </w:num>
  <w:num w:numId="14">
    <w:abstractNumId w:val="17"/>
  </w:num>
  <w:num w:numId="15">
    <w:abstractNumId w:val="13"/>
  </w:num>
  <w:num w:numId="16">
    <w:abstractNumId w:val="33"/>
  </w:num>
  <w:num w:numId="17">
    <w:abstractNumId w:val="4"/>
  </w:num>
  <w:num w:numId="18">
    <w:abstractNumId w:val="22"/>
  </w:num>
  <w:num w:numId="19">
    <w:abstractNumId w:val="6"/>
  </w:num>
  <w:num w:numId="20">
    <w:abstractNumId w:val="29"/>
  </w:num>
  <w:num w:numId="21">
    <w:abstractNumId w:val="15"/>
  </w:num>
  <w:num w:numId="22">
    <w:abstractNumId w:val="21"/>
  </w:num>
  <w:num w:numId="23">
    <w:abstractNumId w:val="37"/>
  </w:num>
  <w:num w:numId="24">
    <w:abstractNumId w:val="26"/>
  </w:num>
  <w:num w:numId="25">
    <w:abstractNumId w:val="19"/>
  </w:num>
  <w:num w:numId="26">
    <w:abstractNumId w:val="34"/>
  </w:num>
  <w:num w:numId="27">
    <w:abstractNumId w:val="3"/>
  </w:num>
  <w:num w:numId="28">
    <w:abstractNumId w:val="35"/>
  </w:num>
  <w:num w:numId="29">
    <w:abstractNumId w:val="27"/>
  </w:num>
  <w:num w:numId="30">
    <w:abstractNumId w:val="8"/>
  </w:num>
  <w:num w:numId="31">
    <w:abstractNumId w:val="23"/>
  </w:num>
  <w:num w:numId="32">
    <w:abstractNumId w:val="31"/>
  </w:num>
  <w:num w:numId="33">
    <w:abstractNumId w:val="11"/>
  </w:num>
  <w:num w:numId="34">
    <w:abstractNumId w:val="7"/>
  </w:num>
  <w:num w:numId="35">
    <w:abstractNumId w:val="39"/>
  </w:num>
  <w:num w:numId="36">
    <w:abstractNumId w:val="10"/>
  </w:num>
  <w:num w:numId="37">
    <w:abstractNumId w:val="2"/>
  </w:num>
  <w:num w:numId="38">
    <w:abstractNumId w:val="12"/>
  </w:num>
  <w:num w:numId="39">
    <w:abstractNumId w:val="25"/>
  </w:num>
  <w:num w:numId="40">
    <w:abstractNumId w:val="38"/>
  </w:num>
  <w:num w:numId="41">
    <w:abstractNumId w:val="32"/>
  </w:num>
  <w:num w:numId="42">
    <w:abstractNumId w:val="14"/>
  </w:num>
  <w:num w:numId="43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Nicole Donatelli">
    <w15:presenceInfo w15:providerId="Windows Live" w15:userId="d480ee8f71d0277d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Formatting/>
  <w:defaultTabStop w:val="708"/>
  <w:hyphenationZone w:val="283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C042F"/>
    <w:rsid w:val="000008AF"/>
    <w:rsid w:val="0000496E"/>
    <w:rsid w:val="00010CA9"/>
    <w:rsid w:val="00010FBB"/>
    <w:rsid w:val="00012B2E"/>
    <w:rsid w:val="00013B9C"/>
    <w:rsid w:val="0001684B"/>
    <w:rsid w:val="00017DD8"/>
    <w:rsid w:val="00022D00"/>
    <w:rsid w:val="00023800"/>
    <w:rsid w:val="00025F6F"/>
    <w:rsid w:val="00027329"/>
    <w:rsid w:val="000279B7"/>
    <w:rsid w:val="000315E9"/>
    <w:rsid w:val="0003171A"/>
    <w:rsid w:val="0003685D"/>
    <w:rsid w:val="00037FB3"/>
    <w:rsid w:val="000407D1"/>
    <w:rsid w:val="00041610"/>
    <w:rsid w:val="000428D3"/>
    <w:rsid w:val="00042CD4"/>
    <w:rsid w:val="00046377"/>
    <w:rsid w:val="000505C7"/>
    <w:rsid w:val="00052ECB"/>
    <w:rsid w:val="0005710A"/>
    <w:rsid w:val="000578A4"/>
    <w:rsid w:val="00060AF8"/>
    <w:rsid w:val="0006371E"/>
    <w:rsid w:val="00063CE0"/>
    <w:rsid w:val="0007746A"/>
    <w:rsid w:val="00087850"/>
    <w:rsid w:val="00087989"/>
    <w:rsid w:val="00087B56"/>
    <w:rsid w:val="00092025"/>
    <w:rsid w:val="000926F0"/>
    <w:rsid w:val="00095624"/>
    <w:rsid w:val="00095FE2"/>
    <w:rsid w:val="000A185C"/>
    <w:rsid w:val="000A2E0D"/>
    <w:rsid w:val="000A32A6"/>
    <w:rsid w:val="000A3D2B"/>
    <w:rsid w:val="000A6145"/>
    <w:rsid w:val="000A79FA"/>
    <w:rsid w:val="000B082E"/>
    <w:rsid w:val="000B20F8"/>
    <w:rsid w:val="000C2810"/>
    <w:rsid w:val="000C2F7B"/>
    <w:rsid w:val="000C5C10"/>
    <w:rsid w:val="000C6454"/>
    <w:rsid w:val="000C6778"/>
    <w:rsid w:val="000D00FB"/>
    <w:rsid w:val="000D449D"/>
    <w:rsid w:val="000D5096"/>
    <w:rsid w:val="000D65A2"/>
    <w:rsid w:val="000D65DC"/>
    <w:rsid w:val="000D7710"/>
    <w:rsid w:val="000E4CEA"/>
    <w:rsid w:val="000E6277"/>
    <w:rsid w:val="000E65A8"/>
    <w:rsid w:val="000F21AF"/>
    <w:rsid w:val="000F4041"/>
    <w:rsid w:val="000F6CAD"/>
    <w:rsid w:val="00104E0C"/>
    <w:rsid w:val="001077BA"/>
    <w:rsid w:val="001138BE"/>
    <w:rsid w:val="00114866"/>
    <w:rsid w:val="00114F26"/>
    <w:rsid w:val="00115894"/>
    <w:rsid w:val="00115D2D"/>
    <w:rsid w:val="00115D6C"/>
    <w:rsid w:val="001215DB"/>
    <w:rsid w:val="001226E2"/>
    <w:rsid w:val="00125667"/>
    <w:rsid w:val="00125A8E"/>
    <w:rsid w:val="00130252"/>
    <w:rsid w:val="001323AC"/>
    <w:rsid w:val="00132CB9"/>
    <w:rsid w:val="00132FAD"/>
    <w:rsid w:val="0013400A"/>
    <w:rsid w:val="00137222"/>
    <w:rsid w:val="00137657"/>
    <w:rsid w:val="00140AFD"/>
    <w:rsid w:val="00140CB3"/>
    <w:rsid w:val="00145AA1"/>
    <w:rsid w:val="001539E8"/>
    <w:rsid w:val="00153CA6"/>
    <w:rsid w:val="001572AB"/>
    <w:rsid w:val="0016035A"/>
    <w:rsid w:val="0016529E"/>
    <w:rsid w:val="00167A1F"/>
    <w:rsid w:val="001711AD"/>
    <w:rsid w:val="00172817"/>
    <w:rsid w:val="00172ADD"/>
    <w:rsid w:val="001736A7"/>
    <w:rsid w:val="00177675"/>
    <w:rsid w:val="0017798D"/>
    <w:rsid w:val="00177C03"/>
    <w:rsid w:val="00185588"/>
    <w:rsid w:val="00185DAB"/>
    <w:rsid w:val="00186294"/>
    <w:rsid w:val="00191C9A"/>
    <w:rsid w:val="00197737"/>
    <w:rsid w:val="001A166D"/>
    <w:rsid w:val="001A3757"/>
    <w:rsid w:val="001A396A"/>
    <w:rsid w:val="001A41C0"/>
    <w:rsid w:val="001A7535"/>
    <w:rsid w:val="001B11B6"/>
    <w:rsid w:val="001B19BD"/>
    <w:rsid w:val="001B1DE9"/>
    <w:rsid w:val="001B2963"/>
    <w:rsid w:val="001B4D72"/>
    <w:rsid w:val="001B51AA"/>
    <w:rsid w:val="001B572D"/>
    <w:rsid w:val="001C58FF"/>
    <w:rsid w:val="001D2D5B"/>
    <w:rsid w:val="001D40FB"/>
    <w:rsid w:val="001D575E"/>
    <w:rsid w:val="001E4414"/>
    <w:rsid w:val="001F18C2"/>
    <w:rsid w:val="001F2ACA"/>
    <w:rsid w:val="001F5202"/>
    <w:rsid w:val="001F66EA"/>
    <w:rsid w:val="001F7A93"/>
    <w:rsid w:val="001F7F63"/>
    <w:rsid w:val="00200763"/>
    <w:rsid w:val="00202EA7"/>
    <w:rsid w:val="00205AC1"/>
    <w:rsid w:val="00221F05"/>
    <w:rsid w:val="00223823"/>
    <w:rsid w:val="0022564C"/>
    <w:rsid w:val="00227339"/>
    <w:rsid w:val="00227D54"/>
    <w:rsid w:val="0023002A"/>
    <w:rsid w:val="00230B4D"/>
    <w:rsid w:val="0023195E"/>
    <w:rsid w:val="00231B58"/>
    <w:rsid w:val="00234ED9"/>
    <w:rsid w:val="00243037"/>
    <w:rsid w:val="0024478C"/>
    <w:rsid w:val="00245D75"/>
    <w:rsid w:val="00251231"/>
    <w:rsid w:val="00257175"/>
    <w:rsid w:val="00257458"/>
    <w:rsid w:val="00257D59"/>
    <w:rsid w:val="00261382"/>
    <w:rsid w:val="0027001C"/>
    <w:rsid w:val="00272C08"/>
    <w:rsid w:val="00276688"/>
    <w:rsid w:val="00277F8B"/>
    <w:rsid w:val="00282DAC"/>
    <w:rsid w:val="00284481"/>
    <w:rsid w:val="002951C2"/>
    <w:rsid w:val="0029603E"/>
    <w:rsid w:val="00296BE9"/>
    <w:rsid w:val="002973DF"/>
    <w:rsid w:val="002A32D7"/>
    <w:rsid w:val="002A347C"/>
    <w:rsid w:val="002A5838"/>
    <w:rsid w:val="002A7609"/>
    <w:rsid w:val="002B036D"/>
    <w:rsid w:val="002B1A3B"/>
    <w:rsid w:val="002B2505"/>
    <w:rsid w:val="002B2CAC"/>
    <w:rsid w:val="002B3188"/>
    <w:rsid w:val="002B3294"/>
    <w:rsid w:val="002B33A4"/>
    <w:rsid w:val="002B6397"/>
    <w:rsid w:val="002B70AD"/>
    <w:rsid w:val="002B7E51"/>
    <w:rsid w:val="002C0057"/>
    <w:rsid w:val="002D364B"/>
    <w:rsid w:val="002D4EB4"/>
    <w:rsid w:val="002D6AC9"/>
    <w:rsid w:val="002E2B24"/>
    <w:rsid w:val="002E5018"/>
    <w:rsid w:val="002E64C8"/>
    <w:rsid w:val="002E7181"/>
    <w:rsid w:val="002F066F"/>
    <w:rsid w:val="00302E82"/>
    <w:rsid w:val="00303B06"/>
    <w:rsid w:val="00303F38"/>
    <w:rsid w:val="00304CAF"/>
    <w:rsid w:val="00316635"/>
    <w:rsid w:val="00316B67"/>
    <w:rsid w:val="00320BCB"/>
    <w:rsid w:val="00323811"/>
    <w:rsid w:val="00323B7D"/>
    <w:rsid w:val="00324CB0"/>
    <w:rsid w:val="003256FE"/>
    <w:rsid w:val="003278FE"/>
    <w:rsid w:val="00332014"/>
    <w:rsid w:val="00340BB4"/>
    <w:rsid w:val="00340F9C"/>
    <w:rsid w:val="003479B7"/>
    <w:rsid w:val="00350C9F"/>
    <w:rsid w:val="00350E04"/>
    <w:rsid w:val="00351690"/>
    <w:rsid w:val="00361EA3"/>
    <w:rsid w:val="00361F97"/>
    <w:rsid w:val="00364A1E"/>
    <w:rsid w:val="00367F6C"/>
    <w:rsid w:val="00373625"/>
    <w:rsid w:val="00373C4A"/>
    <w:rsid w:val="00377C75"/>
    <w:rsid w:val="00380D9D"/>
    <w:rsid w:val="0038140F"/>
    <w:rsid w:val="0038560F"/>
    <w:rsid w:val="00390E83"/>
    <w:rsid w:val="00394EFB"/>
    <w:rsid w:val="003962B1"/>
    <w:rsid w:val="00397BB1"/>
    <w:rsid w:val="003A077A"/>
    <w:rsid w:val="003A0EF8"/>
    <w:rsid w:val="003A2905"/>
    <w:rsid w:val="003A363D"/>
    <w:rsid w:val="003A623A"/>
    <w:rsid w:val="003A6896"/>
    <w:rsid w:val="003A716D"/>
    <w:rsid w:val="003B5696"/>
    <w:rsid w:val="003B5EE2"/>
    <w:rsid w:val="003C29E4"/>
    <w:rsid w:val="003C372E"/>
    <w:rsid w:val="003C38FB"/>
    <w:rsid w:val="003C462F"/>
    <w:rsid w:val="003C47FF"/>
    <w:rsid w:val="003C4E65"/>
    <w:rsid w:val="003C5279"/>
    <w:rsid w:val="003C5A09"/>
    <w:rsid w:val="003C71CE"/>
    <w:rsid w:val="003C73AE"/>
    <w:rsid w:val="003D6D9D"/>
    <w:rsid w:val="003D73D1"/>
    <w:rsid w:val="003E1AED"/>
    <w:rsid w:val="003E2BF9"/>
    <w:rsid w:val="003E553B"/>
    <w:rsid w:val="003E6AE2"/>
    <w:rsid w:val="003E6DE9"/>
    <w:rsid w:val="003F08A4"/>
    <w:rsid w:val="003F46B4"/>
    <w:rsid w:val="003F59CA"/>
    <w:rsid w:val="004002C7"/>
    <w:rsid w:val="004013FA"/>
    <w:rsid w:val="00404CEE"/>
    <w:rsid w:val="004057F0"/>
    <w:rsid w:val="00405D3C"/>
    <w:rsid w:val="00407DBA"/>
    <w:rsid w:val="00411AA0"/>
    <w:rsid w:val="00411ECC"/>
    <w:rsid w:val="0041398A"/>
    <w:rsid w:val="00417DC4"/>
    <w:rsid w:val="004230C7"/>
    <w:rsid w:val="00426C20"/>
    <w:rsid w:val="00430B8D"/>
    <w:rsid w:val="004341B1"/>
    <w:rsid w:val="0043454B"/>
    <w:rsid w:val="004400EE"/>
    <w:rsid w:val="00442015"/>
    <w:rsid w:val="004460CE"/>
    <w:rsid w:val="004531DE"/>
    <w:rsid w:val="00454292"/>
    <w:rsid w:val="004576AB"/>
    <w:rsid w:val="00463F94"/>
    <w:rsid w:val="00465EC5"/>
    <w:rsid w:val="0047181F"/>
    <w:rsid w:val="004760F5"/>
    <w:rsid w:val="0047619F"/>
    <w:rsid w:val="00487CA2"/>
    <w:rsid w:val="00490DE5"/>
    <w:rsid w:val="0049463F"/>
    <w:rsid w:val="00494DEC"/>
    <w:rsid w:val="00495D5D"/>
    <w:rsid w:val="004A16F1"/>
    <w:rsid w:val="004A1DD8"/>
    <w:rsid w:val="004A2C17"/>
    <w:rsid w:val="004A3473"/>
    <w:rsid w:val="004A4E2F"/>
    <w:rsid w:val="004B3719"/>
    <w:rsid w:val="004B4A76"/>
    <w:rsid w:val="004B5243"/>
    <w:rsid w:val="004C042F"/>
    <w:rsid w:val="004C16ED"/>
    <w:rsid w:val="004C220A"/>
    <w:rsid w:val="004C3BA3"/>
    <w:rsid w:val="004C6220"/>
    <w:rsid w:val="004D159A"/>
    <w:rsid w:val="004D1C07"/>
    <w:rsid w:val="004D42D5"/>
    <w:rsid w:val="004D7131"/>
    <w:rsid w:val="004E00AF"/>
    <w:rsid w:val="004E051C"/>
    <w:rsid w:val="004E397C"/>
    <w:rsid w:val="004E42EF"/>
    <w:rsid w:val="004E484A"/>
    <w:rsid w:val="004F1313"/>
    <w:rsid w:val="004F18AB"/>
    <w:rsid w:val="004F1CAD"/>
    <w:rsid w:val="004F1F1C"/>
    <w:rsid w:val="004F4834"/>
    <w:rsid w:val="004F543D"/>
    <w:rsid w:val="00500108"/>
    <w:rsid w:val="00500F58"/>
    <w:rsid w:val="005028B6"/>
    <w:rsid w:val="00503B9A"/>
    <w:rsid w:val="00505C96"/>
    <w:rsid w:val="00510F64"/>
    <w:rsid w:val="00511B0A"/>
    <w:rsid w:val="00511EFD"/>
    <w:rsid w:val="00512024"/>
    <w:rsid w:val="00520F14"/>
    <w:rsid w:val="0052187B"/>
    <w:rsid w:val="00525B03"/>
    <w:rsid w:val="00526254"/>
    <w:rsid w:val="00526B82"/>
    <w:rsid w:val="005278EE"/>
    <w:rsid w:val="00533453"/>
    <w:rsid w:val="00541F2E"/>
    <w:rsid w:val="00546191"/>
    <w:rsid w:val="0054697A"/>
    <w:rsid w:val="00547C2A"/>
    <w:rsid w:val="0055158E"/>
    <w:rsid w:val="00551A7A"/>
    <w:rsid w:val="00556ECD"/>
    <w:rsid w:val="005628EE"/>
    <w:rsid w:val="005629FB"/>
    <w:rsid w:val="0056632C"/>
    <w:rsid w:val="00571462"/>
    <w:rsid w:val="00571D1A"/>
    <w:rsid w:val="005730FB"/>
    <w:rsid w:val="00573ACE"/>
    <w:rsid w:val="00574851"/>
    <w:rsid w:val="005750C8"/>
    <w:rsid w:val="00582769"/>
    <w:rsid w:val="005833E2"/>
    <w:rsid w:val="00584518"/>
    <w:rsid w:val="005912DF"/>
    <w:rsid w:val="00592E43"/>
    <w:rsid w:val="005979EE"/>
    <w:rsid w:val="005B184F"/>
    <w:rsid w:val="005B1B29"/>
    <w:rsid w:val="005B1D4C"/>
    <w:rsid w:val="005B29CA"/>
    <w:rsid w:val="005B2BC5"/>
    <w:rsid w:val="005B3244"/>
    <w:rsid w:val="005B7081"/>
    <w:rsid w:val="005C6B89"/>
    <w:rsid w:val="005C785A"/>
    <w:rsid w:val="005D1824"/>
    <w:rsid w:val="005D1B80"/>
    <w:rsid w:val="005D79C8"/>
    <w:rsid w:val="005E0605"/>
    <w:rsid w:val="005E0E85"/>
    <w:rsid w:val="005E2F43"/>
    <w:rsid w:val="005E30D4"/>
    <w:rsid w:val="005E421F"/>
    <w:rsid w:val="005E5FF8"/>
    <w:rsid w:val="005F064F"/>
    <w:rsid w:val="005F1E95"/>
    <w:rsid w:val="005F3D0B"/>
    <w:rsid w:val="006018B3"/>
    <w:rsid w:val="006023D5"/>
    <w:rsid w:val="00602BD4"/>
    <w:rsid w:val="00602CEB"/>
    <w:rsid w:val="006104D9"/>
    <w:rsid w:val="00611C21"/>
    <w:rsid w:val="006131DB"/>
    <w:rsid w:val="00613519"/>
    <w:rsid w:val="00620411"/>
    <w:rsid w:val="00620461"/>
    <w:rsid w:val="0062477C"/>
    <w:rsid w:val="00631153"/>
    <w:rsid w:val="00636A7F"/>
    <w:rsid w:val="006423FD"/>
    <w:rsid w:val="00643ECD"/>
    <w:rsid w:val="00655D43"/>
    <w:rsid w:val="0065763F"/>
    <w:rsid w:val="00662F50"/>
    <w:rsid w:val="00666AD8"/>
    <w:rsid w:val="00672406"/>
    <w:rsid w:val="00686369"/>
    <w:rsid w:val="0068641A"/>
    <w:rsid w:val="00687752"/>
    <w:rsid w:val="00692276"/>
    <w:rsid w:val="00693060"/>
    <w:rsid w:val="006A5E5D"/>
    <w:rsid w:val="006B07B0"/>
    <w:rsid w:val="006B31CA"/>
    <w:rsid w:val="006B458A"/>
    <w:rsid w:val="006B6238"/>
    <w:rsid w:val="006B6F6D"/>
    <w:rsid w:val="006B7375"/>
    <w:rsid w:val="006B7519"/>
    <w:rsid w:val="006C2B45"/>
    <w:rsid w:val="006D27B0"/>
    <w:rsid w:val="006D64B4"/>
    <w:rsid w:val="006D6F1E"/>
    <w:rsid w:val="006D7078"/>
    <w:rsid w:val="006D7E43"/>
    <w:rsid w:val="006E00DE"/>
    <w:rsid w:val="006E3347"/>
    <w:rsid w:val="006E4F0C"/>
    <w:rsid w:val="006E676E"/>
    <w:rsid w:val="007021D6"/>
    <w:rsid w:val="007021EF"/>
    <w:rsid w:val="007038EB"/>
    <w:rsid w:val="00710202"/>
    <w:rsid w:val="00710349"/>
    <w:rsid w:val="0071053E"/>
    <w:rsid w:val="007156B8"/>
    <w:rsid w:val="00715B1E"/>
    <w:rsid w:val="00723582"/>
    <w:rsid w:val="00726C80"/>
    <w:rsid w:val="007270E7"/>
    <w:rsid w:val="0073196D"/>
    <w:rsid w:val="00731F07"/>
    <w:rsid w:val="007335EF"/>
    <w:rsid w:val="0073463F"/>
    <w:rsid w:val="00734F53"/>
    <w:rsid w:val="00736618"/>
    <w:rsid w:val="00741C1F"/>
    <w:rsid w:val="00742768"/>
    <w:rsid w:val="00744212"/>
    <w:rsid w:val="007509E4"/>
    <w:rsid w:val="0075268D"/>
    <w:rsid w:val="00754FB0"/>
    <w:rsid w:val="007608BC"/>
    <w:rsid w:val="00763357"/>
    <w:rsid w:val="007640A1"/>
    <w:rsid w:val="00774225"/>
    <w:rsid w:val="00774D89"/>
    <w:rsid w:val="007801AD"/>
    <w:rsid w:val="00781174"/>
    <w:rsid w:val="00781399"/>
    <w:rsid w:val="00784A05"/>
    <w:rsid w:val="00784D95"/>
    <w:rsid w:val="007850EF"/>
    <w:rsid w:val="00790C2E"/>
    <w:rsid w:val="0079141A"/>
    <w:rsid w:val="00792E75"/>
    <w:rsid w:val="0079403E"/>
    <w:rsid w:val="00794C73"/>
    <w:rsid w:val="007A29E2"/>
    <w:rsid w:val="007B306C"/>
    <w:rsid w:val="007B78CB"/>
    <w:rsid w:val="007C3F84"/>
    <w:rsid w:val="007C462B"/>
    <w:rsid w:val="007C5532"/>
    <w:rsid w:val="007C6C61"/>
    <w:rsid w:val="007D7935"/>
    <w:rsid w:val="007E085B"/>
    <w:rsid w:val="007E3E47"/>
    <w:rsid w:val="007E5AB5"/>
    <w:rsid w:val="007E6AD9"/>
    <w:rsid w:val="007E7454"/>
    <w:rsid w:val="007F192E"/>
    <w:rsid w:val="00804DC7"/>
    <w:rsid w:val="00805EC7"/>
    <w:rsid w:val="008071A1"/>
    <w:rsid w:val="00810F9F"/>
    <w:rsid w:val="00815DB6"/>
    <w:rsid w:val="0081650F"/>
    <w:rsid w:val="00824930"/>
    <w:rsid w:val="0082561B"/>
    <w:rsid w:val="008272E8"/>
    <w:rsid w:val="008309A7"/>
    <w:rsid w:val="00831C65"/>
    <w:rsid w:val="00832FA5"/>
    <w:rsid w:val="00834500"/>
    <w:rsid w:val="00837190"/>
    <w:rsid w:val="00841DE7"/>
    <w:rsid w:val="00842FCE"/>
    <w:rsid w:val="008443E3"/>
    <w:rsid w:val="0084645E"/>
    <w:rsid w:val="008466AE"/>
    <w:rsid w:val="008515D9"/>
    <w:rsid w:val="008533D1"/>
    <w:rsid w:val="00854A49"/>
    <w:rsid w:val="008555AB"/>
    <w:rsid w:val="0085650D"/>
    <w:rsid w:val="0085696C"/>
    <w:rsid w:val="00861AD2"/>
    <w:rsid w:val="00864713"/>
    <w:rsid w:val="00870DF9"/>
    <w:rsid w:val="00873131"/>
    <w:rsid w:val="0088060D"/>
    <w:rsid w:val="00881BE0"/>
    <w:rsid w:val="00887EF2"/>
    <w:rsid w:val="00891018"/>
    <w:rsid w:val="008944B6"/>
    <w:rsid w:val="00895013"/>
    <w:rsid w:val="00895D70"/>
    <w:rsid w:val="00896DDD"/>
    <w:rsid w:val="008A1B89"/>
    <w:rsid w:val="008A26B0"/>
    <w:rsid w:val="008A3B81"/>
    <w:rsid w:val="008A6214"/>
    <w:rsid w:val="008B19B5"/>
    <w:rsid w:val="008B31FC"/>
    <w:rsid w:val="008B3F72"/>
    <w:rsid w:val="008B5E08"/>
    <w:rsid w:val="008C0774"/>
    <w:rsid w:val="008C12B2"/>
    <w:rsid w:val="008C43DB"/>
    <w:rsid w:val="008C5562"/>
    <w:rsid w:val="008C55F1"/>
    <w:rsid w:val="008C675F"/>
    <w:rsid w:val="008C735B"/>
    <w:rsid w:val="008D0E07"/>
    <w:rsid w:val="008D28BD"/>
    <w:rsid w:val="008D4A3F"/>
    <w:rsid w:val="008E0176"/>
    <w:rsid w:val="008E1AAB"/>
    <w:rsid w:val="008E4E2B"/>
    <w:rsid w:val="008E57C4"/>
    <w:rsid w:val="008E7FB8"/>
    <w:rsid w:val="008F7308"/>
    <w:rsid w:val="009024A2"/>
    <w:rsid w:val="00902A4C"/>
    <w:rsid w:val="009032D9"/>
    <w:rsid w:val="009258C8"/>
    <w:rsid w:val="0092623D"/>
    <w:rsid w:val="009262B0"/>
    <w:rsid w:val="00926F55"/>
    <w:rsid w:val="00937449"/>
    <w:rsid w:val="00937CE3"/>
    <w:rsid w:val="00942093"/>
    <w:rsid w:val="00943AA2"/>
    <w:rsid w:val="00944D49"/>
    <w:rsid w:val="00947CF4"/>
    <w:rsid w:val="009518DA"/>
    <w:rsid w:val="00952D9D"/>
    <w:rsid w:val="00953C1B"/>
    <w:rsid w:val="009542E7"/>
    <w:rsid w:val="0095683B"/>
    <w:rsid w:val="0096362D"/>
    <w:rsid w:val="009648AE"/>
    <w:rsid w:val="009659EC"/>
    <w:rsid w:val="00967593"/>
    <w:rsid w:val="00980EA8"/>
    <w:rsid w:val="0099160B"/>
    <w:rsid w:val="0099268B"/>
    <w:rsid w:val="00992A64"/>
    <w:rsid w:val="00993627"/>
    <w:rsid w:val="009A0EC6"/>
    <w:rsid w:val="009A18DE"/>
    <w:rsid w:val="009A54EE"/>
    <w:rsid w:val="009A589B"/>
    <w:rsid w:val="009A58C5"/>
    <w:rsid w:val="009A7DA3"/>
    <w:rsid w:val="009A7FC8"/>
    <w:rsid w:val="009B08F2"/>
    <w:rsid w:val="009B10DD"/>
    <w:rsid w:val="009B2BA1"/>
    <w:rsid w:val="009B54B9"/>
    <w:rsid w:val="009C0E55"/>
    <w:rsid w:val="009C1A54"/>
    <w:rsid w:val="009C370C"/>
    <w:rsid w:val="009D1760"/>
    <w:rsid w:val="009D2EDB"/>
    <w:rsid w:val="009D3A73"/>
    <w:rsid w:val="009D680A"/>
    <w:rsid w:val="009E154C"/>
    <w:rsid w:val="009E6316"/>
    <w:rsid w:val="009E788B"/>
    <w:rsid w:val="009E7C1B"/>
    <w:rsid w:val="009F0433"/>
    <w:rsid w:val="009F0B8E"/>
    <w:rsid w:val="009F3473"/>
    <w:rsid w:val="009F45A6"/>
    <w:rsid w:val="00A03155"/>
    <w:rsid w:val="00A13F14"/>
    <w:rsid w:val="00A14DB6"/>
    <w:rsid w:val="00A2068F"/>
    <w:rsid w:val="00A2280B"/>
    <w:rsid w:val="00A2431E"/>
    <w:rsid w:val="00A249A5"/>
    <w:rsid w:val="00A26992"/>
    <w:rsid w:val="00A30655"/>
    <w:rsid w:val="00A33C87"/>
    <w:rsid w:val="00A373C9"/>
    <w:rsid w:val="00A44958"/>
    <w:rsid w:val="00A47870"/>
    <w:rsid w:val="00A47EB0"/>
    <w:rsid w:val="00A50324"/>
    <w:rsid w:val="00A50BB6"/>
    <w:rsid w:val="00A577ED"/>
    <w:rsid w:val="00A605BF"/>
    <w:rsid w:val="00A71C3D"/>
    <w:rsid w:val="00A71DFB"/>
    <w:rsid w:val="00A73FCD"/>
    <w:rsid w:val="00A752BC"/>
    <w:rsid w:val="00A77649"/>
    <w:rsid w:val="00A8015F"/>
    <w:rsid w:val="00A80488"/>
    <w:rsid w:val="00A80C90"/>
    <w:rsid w:val="00A821DC"/>
    <w:rsid w:val="00A82528"/>
    <w:rsid w:val="00A8525E"/>
    <w:rsid w:val="00A8720D"/>
    <w:rsid w:val="00A908FD"/>
    <w:rsid w:val="00A927B5"/>
    <w:rsid w:val="00A93DF1"/>
    <w:rsid w:val="00A973E1"/>
    <w:rsid w:val="00AA3275"/>
    <w:rsid w:val="00AA7204"/>
    <w:rsid w:val="00AB0635"/>
    <w:rsid w:val="00AB1B3A"/>
    <w:rsid w:val="00AB1B45"/>
    <w:rsid w:val="00AB48F1"/>
    <w:rsid w:val="00AB7744"/>
    <w:rsid w:val="00AC0202"/>
    <w:rsid w:val="00AC2803"/>
    <w:rsid w:val="00AC383B"/>
    <w:rsid w:val="00AD11DF"/>
    <w:rsid w:val="00AD3CB1"/>
    <w:rsid w:val="00AD40DA"/>
    <w:rsid w:val="00AD479F"/>
    <w:rsid w:val="00AE3780"/>
    <w:rsid w:val="00AE431E"/>
    <w:rsid w:val="00AE6615"/>
    <w:rsid w:val="00AE6C98"/>
    <w:rsid w:val="00AF0C50"/>
    <w:rsid w:val="00AF3019"/>
    <w:rsid w:val="00AF44B2"/>
    <w:rsid w:val="00B029BB"/>
    <w:rsid w:val="00B04C37"/>
    <w:rsid w:val="00B157F3"/>
    <w:rsid w:val="00B17C7D"/>
    <w:rsid w:val="00B22AD3"/>
    <w:rsid w:val="00B26A9B"/>
    <w:rsid w:val="00B27BF9"/>
    <w:rsid w:val="00B41D36"/>
    <w:rsid w:val="00B460B4"/>
    <w:rsid w:val="00B52CF0"/>
    <w:rsid w:val="00B54F58"/>
    <w:rsid w:val="00B6107E"/>
    <w:rsid w:val="00B613CD"/>
    <w:rsid w:val="00B64635"/>
    <w:rsid w:val="00B66813"/>
    <w:rsid w:val="00B72387"/>
    <w:rsid w:val="00B81B3E"/>
    <w:rsid w:val="00B82DB5"/>
    <w:rsid w:val="00B85368"/>
    <w:rsid w:val="00B8602C"/>
    <w:rsid w:val="00B911AE"/>
    <w:rsid w:val="00B92FA5"/>
    <w:rsid w:val="00B953CB"/>
    <w:rsid w:val="00BA1532"/>
    <w:rsid w:val="00BA23AD"/>
    <w:rsid w:val="00BA7134"/>
    <w:rsid w:val="00BA74F5"/>
    <w:rsid w:val="00BA7E55"/>
    <w:rsid w:val="00BB15D6"/>
    <w:rsid w:val="00BC32A5"/>
    <w:rsid w:val="00BC6BA6"/>
    <w:rsid w:val="00BC7214"/>
    <w:rsid w:val="00BD1349"/>
    <w:rsid w:val="00BD1A9A"/>
    <w:rsid w:val="00BD31CC"/>
    <w:rsid w:val="00BE11AC"/>
    <w:rsid w:val="00BE2F1E"/>
    <w:rsid w:val="00BF0E1B"/>
    <w:rsid w:val="00BF10CD"/>
    <w:rsid w:val="00BF1880"/>
    <w:rsid w:val="00BF36B0"/>
    <w:rsid w:val="00BF46AE"/>
    <w:rsid w:val="00BF7696"/>
    <w:rsid w:val="00C026CF"/>
    <w:rsid w:val="00C10A7B"/>
    <w:rsid w:val="00C1110A"/>
    <w:rsid w:val="00C14406"/>
    <w:rsid w:val="00C154D6"/>
    <w:rsid w:val="00C22223"/>
    <w:rsid w:val="00C24F4F"/>
    <w:rsid w:val="00C27219"/>
    <w:rsid w:val="00C325AD"/>
    <w:rsid w:val="00C369D1"/>
    <w:rsid w:val="00C4775D"/>
    <w:rsid w:val="00C50461"/>
    <w:rsid w:val="00C525F4"/>
    <w:rsid w:val="00C60285"/>
    <w:rsid w:val="00C60512"/>
    <w:rsid w:val="00C659CE"/>
    <w:rsid w:val="00C65D89"/>
    <w:rsid w:val="00C7050F"/>
    <w:rsid w:val="00C70B24"/>
    <w:rsid w:val="00C70DA7"/>
    <w:rsid w:val="00C725BC"/>
    <w:rsid w:val="00C8447C"/>
    <w:rsid w:val="00C84633"/>
    <w:rsid w:val="00C85DD3"/>
    <w:rsid w:val="00C86B5A"/>
    <w:rsid w:val="00CA1386"/>
    <w:rsid w:val="00CA1F21"/>
    <w:rsid w:val="00CA1FD7"/>
    <w:rsid w:val="00CA2029"/>
    <w:rsid w:val="00CA4A9F"/>
    <w:rsid w:val="00CA51E5"/>
    <w:rsid w:val="00CB3040"/>
    <w:rsid w:val="00CB6835"/>
    <w:rsid w:val="00CB6937"/>
    <w:rsid w:val="00CC0A55"/>
    <w:rsid w:val="00CC232E"/>
    <w:rsid w:val="00CC24BA"/>
    <w:rsid w:val="00CC4FB0"/>
    <w:rsid w:val="00CC6E23"/>
    <w:rsid w:val="00CC70E4"/>
    <w:rsid w:val="00CC78C2"/>
    <w:rsid w:val="00CD04F3"/>
    <w:rsid w:val="00CD4065"/>
    <w:rsid w:val="00CD4A68"/>
    <w:rsid w:val="00CE01DA"/>
    <w:rsid w:val="00CE0713"/>
    <w:rsid w:val="00CE08A9"/>
    <w:rsid w:val="00CE0F35"/>
    <w:rsid w:val="00CE47E0"/>
    <w:rsid w:val="00CE4F35"/>
    <w:rsid w:val="00CF5552"/>
    <w:rsid w:val="00D017F9"/>
    <w:rsid w:val="00D020F4"/>
    <w:rsid w:val="00D04393"/>
    <w:rsid w:val="00D05756"/>
    <w:rsid w:val="00D10A22"/>
    <w:rsid w:val="00D14F63"/>
    <w:rsid w:val="00D151A2"/>
    <w:rsid w:val="00D15A06"/>
    <w:rsid w:val="00D16072"/>
    <w:rsid w:val="00D27785"/>
    <w:rsid w:val="00D32F0A"/>
    <w:rsid w:val="00D33323"/>
    <w:rsid w:val="00D34545"/>
    <w:rsid w:val="00D407BD"/>
    <w:rsid w:val="00D541A7"/>
    <w:rsid w:val="00D613C0"/>
    <w:rsid w:val="00D61CE8"/>
    <w:rsid w:val="00D63BE0"/>
    <w:rsid w:val="00D65A7E"/>
    <w:rsid w:val="00D66B3C"/>
    <w:rsid w:val="00D74B7C"/>
    <w:rsid w:val="00D7704B"/>
    <w:rsid w:val="00D81FDD"/>
    <w:rsid w:val="00D863C3"/>
    <w:rsid w:val="00D92C29"/>
    <w:rsid w:val="00D94F38"/>
    <w:rsid w:val="00D96800"/>
    <w:rsid w:val="00DA21B4"/>
    <w:rsid w:val="00DA4D91"/>
    <w:rsid w:val="00DA699A"/>
    <w:rsid w:val="00DB2943"/>
    <w:rsid w:val="00DC563F"/>
    <w:rsid w:val="00DD2D26"/>
    <w:rsid w:val="00DD50E9"/>
    <w:rsid w:val="00DE0026"/>
    <w:rsid w:val="00DE1F0B"/>
    <w:rsid w:val="00DE54CC"/>
    <w:rsid w:val="00DE731C"/>
    <w:rsid w:val="00DF36AA"/>
    <w:rsid w:val="00DF3E04"/>
    <w:rsid w:val="00DF4B2F"/>
    <w:rsid w:val="00E01A9B"/>
    <w:rsid w:val="00E05161"/>
    <w:rsid w:val="00E0563F"/>
    <w:rsid w:val="00E05B7B"/>
    <w:rsid w:val="00E071B8"/>
    <w:rsid w:val="00E1071E"/>
    <w:rsid w:val="00E11B5F"/>
    <w:rsid w:val="00E12167"/>
    <w:rsid w:val="00E12824"/>
    <w:rsid w:val="00E15CC7"/>
    <w:rsid w:val="00E17D0D"/>
    <w:rsid w:val="00E260C8"/>
    <w:rsid w:val="00E27C4E"/>
    <w:rsid w:val="00E3401B"/>
    <w:rsid w:val="00E352F9"/>
    <w:rsid w:val="00E416C7"/>
    <w:rsid w:val="00E52F4C"/>
    <w:rsid w:val="00E5596F"/>
    <w:rsid w:val="00E56820"/>
    <w:rsid w:val="00E57CDB"/>
    <w:rsid w:val="00E617B9"/>
    <w:rsid w:val="00E62AB9"/>
    <w:rsid w:val="00E716E4"/>
    <w:rsid w:val="00E74D5C"/>
    <w:rsid w:val="00E81039"/>
    <w:rsid w:val="00E85D6C"/>
    <w:rsid w:val="00E878E4"/>
    <w:rsid w:val="00E943BB"/>
    <w:rsid w:val="00EA0D2F"/>
    <w:rsid w:val="00EA1D85"/>
    <w:rsid w:val="00EA4B7D"/>
    <w:rsid w:val="00EA6976"/>
    <w:rsid w:val="00EB0A23"/>
    <w:rsid w:val="00EB130D"/>
    <w:rsid w:val="00EB2447"/>
    <w:rsid w:val="00EC1344"/>
    <w:rsid w:val="00EC4CF4"/>
    <w:rsid w:val="00ED379F"/>
    <w:rsid w:val="00ED3FA2"/>
    <w:rsid w:val="00ED62B3"/>
    <w:rsid w:val="00EE35F2"/>
    <w:rsid w:val="00EE43B5"/>
    <w:rsid w:val="00EE54A0"/>
    <w:rsid w:val="00EF01C8"/>
    <w:rsid w:val="00EF0EB3"/>
    <w:rsid w:val="00EF0FFB"/>
    <w:rsid w:val="00EF36C1"/>
    <w:rsid w:val="00EF432B"/>
    <w:rsid w:val="00EF5A7E"/>
    <w:rsid w:val="00EF708D"/>
    <w:rsid w:val="00EF73DC"/>
    <w:rsid w:val="00F000CD"/>
    <w:rsid w:val="00F02CB8"/>
    <w:rsid w:val="00F0353C"/>
    <w:rsid w:val="00F04710"/>
    <w:rsid w:val="00F05CD1"/>
    <w:rsid w:val="00F05EE3"/>
    <w:rsid w:val="00F0782A"/>
    <w:rsid w:val="00F07A7D"/>
    <w:rsid w:val="00F07CDB"/>
    <w:rsid w:val="00F10217"/>
    <w:rsid w:val="00F11184"/>
    <w:rsid w:val="00F11457"/>
    <w:rsid w:val="00F13443"/>
    <w:rsid w:val="00F14C99"/>
    <w:rsid w:val="00F228D6"/>
    <w:rsid w:val="00F302D7"/>
    <w:rsid w:val="00F30960"/>
    <w:rsid w:val="00F33244"/>
    <w:rsid w:val="00F34D32"/>
    <w:rsid w:val="00F369ED"/>
    <w:rsid w:val="00F376A4"/>
    <w:rsid w:val="00F40BC6"/>
    <w:rsid w:val="00F430D8"/>
    <w:rsid w:val="00F43588"/>
    <w:rsid w:val="00F47186"/>
    <w:rsid w:val="00F5430B"/>
    <w:rsid w:val="00F60A43"/>
    <w:rsid w:val="00F61704"/>
    <w:rsid w:val="00F61E25"/>
    <w:rsid w:val="00F63BF2"/>
    <w:rsid w:val="00F65BBE"/>
    <w:rsid w:val="00F67099"/>
    <w:rsid w:val="00F7289A"/>
    <w:rsid w:val="00F77D73"/>
    <w:rsid w:val="00F8041F"/>
    <w:rsid w:val="00F80F12"/>
    <w:rsid w:val="00F81A6D"/>
    <w:rsid w:val="00F8684D"/>
    <w:rsid w:val="00F877C5"/>
    <w:rsid w:val="00F9210C"/>
    <w:rsid w:val="00F940D3"/>
    <w:rsid w:val="00F9789B"/>
    <w:rsid w:val="00FA39DD"/>
    <w:rsid w:val="00FA7D14"/>
    <w:rsid w:val="00FB0D75"/>
    <w:rsid w:val="00FB0D9A"/>
    <w:rsid w:val="00FB0FA7"/>
    <w:rsid w:val="00FB1326"/>
    <w:rsid w:val="00FB20ED"/>
    <w:rsid w:val="00FB627D"/>
    <w:rsid w:val="00FB7279"/>
    <w:rsid w:val="00FC23B8"/>
    <w:rsid w:val="00FC429E"/>
    <w:rsid w:val="00FC7052"/>
    <w:rsid w:val="00FD4A9C"/>
    <w:rsid w:val="00FD4C2C"/>
    <w:rsid w:val="00FD6C05"/>
    <w:rsid w:val="00FE0BBB"/>
    <w:rsid w:val="00FE213F"/>
    <w:rsid w:val="00FE791D"/>
    <w:rsid w:val="00FF067A"/>
    <w:rsid w:val="00FF225D"/>
    <w:rsid w:val="00FF2444"/>
    <w:rsid w:val="00FF3BFD"/>
    <w:rsid w:val="00FF5662"/>
    <w:rsid w:val="00FF5E3B"/>
    <w:rsid w:val="00FF614F"/>
    <w:rsid w:val="00FF6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042F"/>
    <w:pPr>
      <w:overflowPunct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Titolo2">
    <w:name w:val="heading 2"/>
    <w:basedOn w:val="Normale"/>
    <w:next w:val="Normale"/>
    <w:qFormat/>
    <w:rsid w:val="00C525F4"/>
    <w:pPr>
      <w:keepNext/>
      <w:spacing w:line="340" w:lineRule="exact"/>
      <w:jc w:val="center"/>
      <w:outlineLvl w:val="1"/>
    </w:pPr>
    <w:rPr>
      <w:rFonts w:ascii="English111 Adagio BT" w:hAnsi="English111 Adagio BT"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5D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rsid w:val="004013FA"/>
    <w:rPr>
      <w:color w:val="0000FF"/>
      <w:u w:val="single"/>
    </w:rPr>
  </w:style>
  <w:style w:type="character" w:customStyle="1" w:styleId="IntestazioneCarattere">
    <w:name w:val="Intestazione Carattere"/>
    <w:link w:val="Intestazione"/>
    <w:locked/>
    <w:rsid w:val="002B33A4"/>
    <w:rPr>
      <w:rFonts w:ascii="Book Antiqua" w:eastAsia="Calibri" w:hAnsi="Book Antiqua" w:cs="Book Antiqua"/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rsid w:val="002B33A4"/>
    <w:pPr>
      <w:tabs>
        <w:tab w:val="center" w:pos="4819"/>
        <w:tab w:val="right" w:pos="9638"/>
      </w:tabs>
      <w:overflowPunct/>
      <w:autoSpaceDE/>
      <w:autoSpaceDN/>
      <w:adjustRightInd/>
    </w:pPr>
    <w:rPr>
      <w:rFonts w:ascii="Book Antiqua" w:eastAsia="Calibri" w:hAnsi="Book Antiqua" w:cs="Book Antiqua"/>
      <w:sz w:val="24"/>
      <w:szCs w:val="24"/>
    </w:rPr>
  </w:style>
  <w:style w:type="paragraph" w:customStyle="1" w:styleId="Pa2">
    <w:name w:val="Pa2"/>
    <w:basedOn w:val="Normale"/>
    <w:next w:val="Normale"/>
    <w:rsid w:val="002B33A4"/>
    <w:pPr>
      <w:overflowPunct/>
      <w:spacing w:line="201" w:lineRule="atLeast"/>
    </w:pPr>
    <w:rPr>
      <w:rFonts w:ascii="Futura Std Light" w:eastAsia="Calibri" w:hAnsi="Futura Std Light"/>
      <w:sz w:val="24"/>
      <w:szCs w:val="24"/>
    </w:rPr>
  </w:style>
  <w:style w:type="paragraph" w:styleId="Pidipagina">
    <w:name w:val="footer"/>
    <w:basedOn w:val="Normale"/>
    <w:rsid w:val="0099268B"/>
    <w:pPr>
      <w:tabs>
        <w:tab w:val="center" w:pos="4819"/>
        <w:tab w:val="right" w:pos="9638"/>
      </w:tabs>
    </w:pPr>
  </w:style>
  <w:style w:type="paragraph" w:customStyle="1" w:styleId="CharCharCharChar">
    <w:name w:val="Char Char Char Char"/>
    <w:basedOn w:val="Normale"/>
    <w:rsid w:val="0043454B"/>
    <w:pPr>
      <w:overflowPunct/>
      <w:autoSpaceDE/>
      <w:autoSpaceDN/>
      <w:adjustRightInd/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stofumetto">
    <w:name w:val="Balloon Text"/>
    <w:basedOn w:val="Normale"/>
    <w:semiHidden/>
    <w:rsid w:val="008071A1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2B6397"/>
  </w:style>
  <w:style w:type="character" w:customStyle="1" w:styleId="CarattereCarattere">
    <w:name w:val="Carattere Carattere"/>
    <w:locked/>
    <w:rsid w:val="00C525F4"/>
    <w:rPr>
      <w:rFonts w:ascii="Book Antiqua" w:eastAsia="Calibri" w:hAnsi="Book Antiqua" w:cs="Book Antiqua"/>
      <w:sz w:val="24"/>
      <w:szCs w:val="24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A13F14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Stile">
    <w:name w:val="Stile"/>
    <w:rsid w:val="0069227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Revisione">
    <w:name w:val="Revision"/>
    <w:hidden/>
    <w:uiPriority w:val="99"/>
    <w:semiHidden/>
    <w:rsid w:val="00397BB1"/>
    <w:rPr>
      <w:rFonts w:ascii="Arial" w:hAnsi="Arial"/>
      <w:sz w:val="22"/>
    </w:rPr>
  </w:style>
  <w:style w:type="paragraph" w:customStyle="1" w:styleId="Style2">
    <w:name w:val="Style 2"/>
    <w:uiPriority w:val="99"/>
    <w:rsid w:val="009E788B"/>
    <w:pPr>
      <w:widowControl w:val="0"/>
      <w:autoSpaceDE w:val="0"/>
      <w:autoSpaceDN w:val="0"/>
      <w:spacing w:line="266" w:lineRule="auto"/>
      <w:ind w:firstLine="720"/>
      <w:jc w:val="both"/>
    </w:pPr>
    <w:rPr>
      <w:sz w:val="22"/>
      <w:szCs w:val="22"/>
    </w:rPr>
  </w:style>
  <w:style w:type="character" w:customStyle="1" w:styleId="CharacterStyle1">
    <w:name w:val="Character Style 1"/>
    <w:uiPriority w:val="99"/>
    <w:rsid w:val="009E788B"/>
    <w:rPr>
      <w:sz w:val="22"/>
    </w:rPr>
  </w:style>
  <w:style w:type="character" w:styleId="Enfasigrassetto">
    <w:name w:val="Strong"/>
    <w:qFormat/>
    <w:rsid w:val="00512024"/>
    <w:rPr>
      <w:rFonts w:ascii="Times New Roman" w:hAnsi="Times New Roman" w:cs="Times New Roman"/>
      <w:b/>
      <w:bCs/>
    </w:rPr>
  </w:style>
  <w:style w:type="paragraph" w:styleId="NormaleWeb">
    <w:name w:val="Normal (Web)"/>
    <w:basedOn w:val="Normale"/>
    <w:uiPriority w:val="99"/>
    <w:rsid w:val="00512024"/>
    <w:pPr>
      <w:suppressAutoHyphens/>
      <w:overflowPunct/>
      <w:autoSpaceDE/>
      <w:autoSpaceDN/>
      <w:adjustRightInd/>
      <w:spacing w:before="280" w:after="280"/>
    </w:pPr>
    <w:rPr>
      <w:rFonts w:ascii="Verdana" w:hAnsi="Verdana" w:cs="Verdana"/>
      <w:color w:val="284D6D"/>
      <w:sz w:val="17"/>
      <w:szCs w:val="17"/>
      <w:lang w:eastAsia="ar-SA"/>
    </w:rPr>
  </w:style>
  <w:style w:type="character" w:styleId="Rimandocommento">
    <w:name w:val="annotation reference"/>
    <w:basedOn w:val="Carpredefinitoparagrafo"/>
    <w:semiHidden/>
    <w:unhideWhenUsed/>
    <w:rsid w:val="005D79C8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5D79C8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5D79C8"/>
    <w:rPr>
      <w:rFonts w:ascii="Arial" w:hAnsi="Arial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5D79C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5D79C8"/>
    <w:rPr>
      <w:rFonts w:ascii="Arial" w:hAnsi="Arial"/>
      <w:b/>
      <w:bCs/>
    </w:rPr>
  </w:style>
  <w:style w:type="character" w:styleId="Testosegnaposto">
    <w:name w:val="Placeholder Text"/>
    <w:basedOn w:val="Carpredefinitoparagrafo"/>
    <w:uiPriority w:val="99"/>
    <w:semiHidden/>
    <w:rsid w:val="00837190"/>
    <w:rPr>
      <w:color w:val="808080"/>
    </w:rPr>
  </w:style>
  <w:style w:type="character" w:customStyle="1" w:styleId="provvnumcomma">
    <w:name w:val="provv_numcomma"/>
    <w:basedOn w:val="Carpredefinitoparagrafo"/>
    <w:rsid w:val="004E397C"/>
  </w:style>
  <w:style w:type="paragraph" w:customStyle="1" w:styleId="Default">
    <w:name w:val="Default"/>
    <w:rsid w:val="008D4A3F"/>
    <w:pPr>
      <w:autoSpaceDE w:val="0"/>
      <w:autoSpaceDN w:val="0"/>
      <w:adjustRightInd w:val="0"/>
    </w:pPr>
    <w:rPr>
      <w:rFonts w:ascii="Garamond" w:eastAsiaTheme="minorHAnsi" w:hAnsi="Garamond" w:cs="Garamond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042F"/>
    <w:pPr>
      <w:overflowPunct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Titolo2">
    <w:name w:val="heading 2"/>
    <w:basedOn w:val="Normale"/>
    <w:next w:val="Normale"/>
    <w:qFormat/>
    <w:rsid w:val="00C525F4"/>
    <w:pPr>
      <w:keepNext/>
      <w:spacing w:line="340" w:lineRule="exact"/>
      <w:jc w:val="center"/>
      <w:outlineLvl w:val="1"/>
    </w:pPr>
    <w:rPr>
      <w:rFonts w:ascii="English111 Adagio BT" w:hAnsi="English111 Adagio BT"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4013FA"/>
    <w:rPr>
      <w:color w:val="0000FF"/>
      <w:u w:val="single"/>
    </w:rPr>
  </w:style>
  <w:style w:type="character" w:customStyle="1" w:styleId="IntestazioneCarattere">
    <w:name w:val="Intestazione Carattere"/>
    <w:link w:val="Intestazione"/>
    <w:locked/>
    <w:rsid w:val="002B33A4"/>
    <w:rPr>
      <w:rFonts w:ascii="Book Antiqua" w:eastAsia="Calibri" w:hAnsi="Book Antiqua" w:cs="Book Antiqua"/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rsid w:val="002B33A4"/>
    <w:pPr>
      <w:tabs>
        <w:tab w:val="center" w:pos="4819"/>
        <w:tab w:val="right" w:pos="9638"/>
      </w:tabs>
      <w:overflowPunct/>
      <w:autoSpaceDE/>
      <w:autoSpaceDN/>
      <w:adjustRightInd/>
    </w:pPr>
    <w:rPr>
      <w:rFonts w:ascii="Book Antiqua" w:eastAsia="Calibri" w:hAnsi="Book Antiqua" w:cs="Book Antiqua"/>
      <w:sz w:val="24"/>
      <w:szCs w:val="24"/>
    </w:rPr>
  </w:style>
  <w:style w:type="paragraph" w:customStyle="1" w:styleId="Pa2">
    <w:name w:val="Pa2"/>
    <w:basedOn w:val="Normale"/>
    <w:next w:val="Normale"/>
    <w:rsid w:val="002B33A4"/>
    <w:pPr>
      <w:overflowPunct/>
      <w:spacing w:line="201" w:lineRule="atLeast"/>
    </w:pPr>
    <w:rPr>
      <w:rFonts w:ascii="Futura Std Light" w:eastAsia="Calibri" w:hAnsi="Futura Std Light"/>
      <w:sz w:val="24"/>
      <w:szCs w:val="24"/>
    </w:rPr>
  </w:style>
  <w:style w:type="paragraph" w:styleId="Pidipagina">
    <w:name w:val="footer"/>
    <w:basedOn w:val="Normale"/>
    <w:rsid w:val="0099268B"/>
    <w:pPr>
      <w:tabs>
        <w:tab w:val="center" w:pos="4819"/>
        <w:tab w:val="right" w:pos="9638"/>
      </w:tabs>
    </w:pPr>
  </w:style>
  <w:style w:type="paragraph" w:customStyle="1" w:styleId="CharCharCharChar">
    <w:name w:val="Char Char Char Char"/>
    <w:basedOn w:val="Normale"/>
    <w:rsid w:val="0043454B"/>
    <w:pPr>
      <w:overflowPunct/>
      <w:autoSpaceDE/>
      <w:autoSpaceDN/>
      <w:adjustRightInd/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stofumetto">
    <w:name w:val="Balloon Text"/>
    <w:basedOn w:val="Normale"/>
    <w:semiHidden/>
    <w:rsid w:val="008071A1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2B6397"/>
  </w:style>
  <w:style w:type="character" w:customStyle="1" w:styleId="CarattereCarattere">
    <w:name w:val="Carattere Carattere"/>
    <w:locked/>
    <w:rsid w:val="00C525F4"/>
    <w:rPr>
      <w:rFonts w:ascii="Book Antiqua" w:eastAsia="Calibri" w:hAnsi="Book Antiqua" w:cs="Book Antiqua"/>
      <w:sz w:val="24"/>
      <w:szCs w:val="24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A13F14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Stile">
    <w:name w:val="Stile"/>
    <w:rsid w:val="0069227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Revisione">
    <w:name w:val="Revision"/>
    <w:hidden/>
    <w:uiPriority w:val="99"/>
    <w:semiHidden/>
    <w:rsid w:val="00397BB1"/>
    <w:rPr>
      <w:rFonts w:ascii="Arial" w:hAnsi="Arial"/>
      <w:sz w:val="22"/>
    </w:rPr>
  </w:style>
  <w:style w:type="paragraph" w:customStyle="1" w:styleId="Style2">
    <w:name w:val="Style 2"/>
    <w:uiPriority w:val="99"/>
    <w:rsid w:val="009E788B"/>
    <w:pPr>
      <w:widowControl w:val="0"/>
      <w:autoSpaceDE w:val="0"/>
      <w:autoSpaceDN w:val="0"/>
      <w:spacing w:line="266" w:lineRule="auto"/>
      <w:ind w:firstLine="720"/>
      <w:jc w:val="both"/>
    </w:pPr>
    <w:rPr>
      <w:sz w:val="22"/>
      <w:szCs w:val="22"/>
    </w:rPr>
  </w:style>
  <w:style w:type="character" w:customStyle="1" w:styleId="CharacterStyle1">
    <w:name w:val="Character Style 1"/>
    <w:uiPriority w:val="99"/>
    <w:rsid w:val="009E788B"/>
    <w:rPr>
      <w:sz w:val="22"/>
    </w:rPr>
  </w:style>
  <w:style w:type="character" w:styleId="Enfasigrassetto">
    <w:name w:val="Strong"/>
    <w:qFormat/>
    <w:rsid w:val="00512024"/>
    <w:rPr>
      <w:rFonts w:ascii="Times New Roman" w:hAnsi="Times New Roman" w:cs="Times New Roman"/>
      <w:b/>
      <w:bCs/>
    </w:rPr>
  </w:style>
  <w:style w:type="paragraph" w:styleId="NormaleWeb">
    <w:name w:val="Normal (Web)"/>
    <w:basedOn w:val="Normale"/>
    <w:uiPriority w:val="99"/>
    <w:rsid w:val="00512024"/>
    <w:pPr>
      <w:suppressAutoHyphens/>
      <w:overflowPunct/>
      <w:autoSpaceDE/>
      <w:autoSpaceDN/>
      <w:adjustRightInd/>
      <w:spacing w:before="280" w:after="280"/>
    </w:pPr>
    <w:rPr>
      <w:rFonts w:ascii="Verdana" w:hAnsi="Verdana" w:cs="Verdana"/>
      <w:color w:val="284D6D"/>
      <w:sz w:val="17"/>
      <w:szCs w:val="17"/>
      <w:lang w:eastAsia="ar-SA"/>
    </w:rPr>
  </w:style>
  <w:style w:type="character" w:styleId="Rimandocommento">
    <w:name w:val="annotation reference"/>
    <w:basedOn w:val="Carpredefinitoparagrafo"/>
    <w:semiHidden/>
    <w:unhideWhenUsed/>
    <w:rsid w:val="005D79C8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5D79C8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5D79C8"/>
    <w:rPr>
      <w:rFonts w:ascii="Arial" w:hAnsi="Arial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5D79C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5D79C8"/>
    <w:rPr>
      <w:rFonts w:ascii="Arial" w:hAnsi="Arial"/>
      <w:b/>
      <w:bCs/>
    </w:rPr>
  </w:style>
  <w:style w:type="character" w:styleId="Testosegnaposto">
    <w:name w:val="Placeholder Text"/>
    <w:basedOn w:val="Carpredefinitoparagrafo"/>
    <w:uiPriority w:val="99"/>
    <w:semiHidden/>
    <w:rsid w:val="00837190"/>
    <w:rPr>
      <w:color w:val="808080"/>
    </w:rPr>
  </w:style>
  <w:style w:type="character" w:customStyle="1" w:styleId="provvnumcomma">
    <w:name w:val="provv_numcomma"/>
    <w:basedOn w:val="Carpredefinitoparagrafo"/>
    <w:rsid w:val="004E397C"/>
  </w:style>
  <w:style w:type="paragraph" w:customStyle="1" w:styleId="Default">
    <w:name w:val="Default"/>
    <w:rsid w:val="008D4A3F"/>
    <w:pPr>
      <w:autoSpaceDE w:val="0"/>
      <w:autoSpaceDN w:val="0"/>
      <w:adjustRightInd w:val="0"/>
    </w:pPr>
    <w:rPr>
      <w:rFonts w:ascii="Garamond" w:eastAsiaTheme="minorHAnsi" w:hAnsi="Garamond" w:cs="Garamond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7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3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9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1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38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4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90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69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82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20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77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7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4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67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41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44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45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38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62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27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36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82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86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86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70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83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35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03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0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77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0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58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19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75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99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1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97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48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91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06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96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149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6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7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2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8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0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4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7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98997-6A63-4D2F-AA0F-B1E28E116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1741</Words>
  <Characters>9927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HP</cp:lastModifiedBy>
  <cp:revision>2</cp:revision>
  <cp:lastPrinted>2020-01-16T15:00:00Z</cp:lastPrinted>
  <dcterms:created xsi:type="dcterms:W3CDTF">2020-07-05T08:56:00Z</dcterms:created>
  <dcterms:modified xsi:type="dcterms:W3CDTF">2020-07-05T08:56:00Z</dcterms:modified>
</cp:coreProperties>
</file>