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5F9" w:rsidRDefault="006925F9" w:rsidP="006925F9">
      <w:pPr>
        <w:pStyle w:val="Default"/>
        <w:rPr>
          <w:sz w:val="23"/>
          <w:szCs w:val="23"/>
        </w:rPr>
      </w:pPr>
      <w:r>
        <w:rPr>
          <w:b/>
          <w:bCs/>
          <w:sz w:val="23"/>
          <w:szCs w:val="23"/>
        </w:rPr>
        <w:t xml:space="preserve">SOSTEGNO - SOSTEGNO NELLE SCUOLE </w:t>
      </w:r>
      <w:proofErr w:type="spellStart"/>
      <w:r>
        <w:rPr>
          <w:b/>
          <w:bCs/>
          <w:sz w:val="23"/>
          <w:szCs w:val="23"/>
        </w:rPr>
        <w:t>DI</w:t>
      </w:r>
      <w:proofErr w:type="spellEnd"/>
      <w:r>
        <w:rPr>
          <w:b/>
          <w:bCs/>
          <w:sz w:val="23"/>
          <w:szCs w:val="23"/>
        </w:rPr>
        <w:t xml:space="preserve"> OGNI ORDINE E GRADO </w:t>
      </w:r>
    </w:p>
    <w:p w:rsidR="006925F9" w:rsidRDefault="006925F9" w:rsidP="006925F9">
      <w:pPr>
        <w:pStyle w:val="Default"/>
        <w:rPr>
          <w:sz w:val="23"/>
          <w:szCs w:val="23"/>
        </w:rPr>
      </w:pPr>
      <w:r>
        <w:rPr>
          <w:b/>
          <w:bCs/>
          <w:i/>
          <w:iCs/>
          <w:sz w:val="23"/>
          <w:szCs w:val="23"/>
        </w:rPr>
        <w:t xml:space="preserve">Tipologia delle prove </w:t>
      </w:r>
    </w:p>
    <w:p w:rsidR="006925F9" w:rsidRDefault="006925F9" w:rsidP="006925F9">
      <w:pPr>
        <w:pStyle w:val="Default"/>
        <w:rPr>
          <w:sz w:val="23"/>
          <w:szCs w:val="23"/>
        </w:rPr>
      </w:pPr>
      <w:r>
        <w:rPr>
          <w:sz w:val="23"/>
          <w:szCs w:val="23"/>
        </w:rPr>
        <w:t xml:space="preserve">Prova scritta: cfr. avvertenze generali. </w:t>
      </w:r>
    </w:p>
    <w:p w:rsidR="006925F9" w:rsidRDefault="006925F9" w:rsidP="006925F9">
      <w:pPr>
        <w:pStyle w:val="Default"/>
        <w:rPr>
          <w:sz w:val="23"/>
          <w:szCs w:val="23"/>
        </w:rPr>
      </w:pPr>
      <w:r>
        <w:rPr>
          <w:sz w:val="23"/>
          <w:szCs w:val="23"/>
        </w:rPr>
        <w:t xml:space="preserve">Prova orale: cfr. avvertenze generali. </w:t>
      </w:r>
    </w:p>
    <w:p w:rsidR="006925F9" w:rsidRDefault="006925F9" w:rsidP="006925F9">
      <w:pPr>
        <w:pStyle w:val="Default"/>
        <w:rPr>
          <w:sz w:val="23"/>
          <w:szCs w:val="23"/>
        </w:rPr>
      </w:pPr>
      <w:r>
        <w:rPr>
          <w:b/>
          <w:bCs/>
          <w:i/>
          <w:iCs/>
          <w:sz w:val="23"/>
          <w:szCs w:val="23"/>
        </w:rPr>
        <w:t xml:space="preserve">Programma d’esame </w:t>
      </w:r>
    </w:p>
    <w:p w:rsidR="006925F9" w:rsidRDefault="006925F9" w:rsidP="006925F9">
      <w:pPr>
        <w:pStyle w:val="Default"/>
        <w:rPr>
          <w:sz w:val="23"/>
          <w:szCs w:val="23"/>
        </w:rPr>
      </w:pPr>
      <w:r>
        <w:rPr>
          <w:i/>
          <w:iCs/>
          <w:sz w:val="23"/>
          <w:szCs w:val="23"/>
        </w:rPr>
        <w:t>Le indicazioni contenute nelle "Avvertenze generali" sono parte integrante del programma di esame</w:t>
      </w:r>
      <w:r>
        <w:rPr>
          <w:sz w:val="23"/>
          <w:szCs w:val="23"/>
        </w:rPr>
        <w:t xml:space="preserve">. </w:t>
      </w:r>
    </w:p>
    <w:p w:rsidR="006925F9" w:rsidRDefault="006925F9" w:rsidP="006925F9">
      <w:pPr>
        <w:pStyle w:val="Default"/>
        <w:rPr>
          <w:sz w:val="23"/>
          <w:szCs w:val="23"/>
        </w:rPr>
      </w:pPr>
      <w:r>
        <w:rPr>
          <w:sz w:val="23"/>
          <w:szCs w:val="23"/>
        </w:rPr>
        <w:t xml:space="preserve">Come evidenziato nelle Linee guida per l’integrazione scolastica degli alunni con disabilità (2009), “un sistema inclusivo considera l’alunno protagonista dell’apprendimento qualunque siano le sue capacità, le sue potenzialità e i suoi limiti. Va favorita, pertanto, la costruzione attiva della conoscenza, attivando le personali strategie di approccio al “sapere”, rispettando i ritmi e gli stili di apprendimento e “assecondando” i meccanismi di autoregolazione. Si suggerisce il ricorso alla metodologia dell’apprendimento cooperativo”. </w:t>
      </w:r>
    </w:p>
    <w:p w:rsidR="006925F9" w:rsidRDefault="006925F9" w:rsidP="006925F9">
      <w:pPr>
        <w:pStyle w:val="Default"/>
        <w:rPr>
          <w:sz w:val="23"/>
          <w:szCs w:val="23"/>
        </w:rPr>
      </w:pPr>
      <w:r>
        <w:rPr>
          <w:sz w:val="23"/>
          <w:szCs w:val="23"/>
        </w:rPr>
        <w:t xml:space="preserve">In tale prospettiva, il docente per le attività di sostegno, dalla scuola dell’infanzia alla scuola secondaria di secondo grado, deve dimostrare di assumere un ruolo centrale per favorire la progettazione educativa individualizzata che, sulla base del caso concreto e delle sue esigenze, dovrà individuare interventi equilibrati fra apprendimento e socializzazione, in stretta collaborazione con i docenti delle discipline curricolari. </w:t>
      </w:r>
    </w:p>
    <w:p w:rsidR="006925F9" w:rsidRDefault="006925F9" w:rsidP="006925F9">
      <w:pPr>
        <w:pStyle w:val="Default"/>
        <w:rPr>
          <w:sz w:val="23"/>
          <w:szCs w:val="23"/>
        </w:rPr>
      </w:pPr>
      <w:proofErr w:type="spellStart"/>
      <w:r>
        <w:rPr>
          <w:sz w:val="23"/>
          <w:szCs w:val="23"/>
        </w:rPr>
        <w:t>ll</w:t>
      </w:r>
      <w:proofErr w:type="spellEnd"/>
      <w:r>
        <w:rPr>
          <w:sz w:val="23"/>
          <w:szCs w:val="23"/>
        </w:rPr>
        <w:t xml:space="preserve"> candidato, in relazione al settore per cui concorre, deve dimostrare di possedere adeguate conoscenze e competenze con riferimento ai seguenti ambiti. </w:t>
      </w:r>
    </w:p>
    <w:p w:rsidR="006925F9" w:rsidRDefault="006925F9" w:rsidP="006925F9">
      <w:pPr>
        <w:pStyle w:val="Default"/>
        <w:rPr>
          <w:sz w:val="23"/>
          <w:szCs w:val="23"/>
        </w:rPr>
      </w:pPr>
      <w:r>
        <w:rPr>
          <w:sz w:val="23"/>
          <w:szCs w:val="23"/>
        </w:rPr>
        <w:t xml:space="preserve">AMBITO NORMATIVO </w:t>
      </w:r>
    </w:p>
    <w:p w:rsidR="006925F9" w:rsidRDefault="006925F9" w:rsidP="006925F9">
      <w:pPr>
        <w:pStyle w:val="Default"/>
        <w:rPr>
          <w:sz w:val="23"/>
          <w:szCs w:val="23"/>
        </w:rPr>
      </w:pPr>
      <w:r>
        <w:rPr>
          <w:sz w:val="23"/>
          <w:szCs w:val="23"/>
        </w:rPr>
        <w:t xml:space="preserve">È richiesta al candidato la conoscenza del sistema normativo relativo ai diritti delle persone con disabilità, con particolare riferimento all’inclusione scolastica. </w:t>
      </w:r>
    </w:p>
    <w:p w:rsidR="006925F9" w:rsidRDefault="006925F9" w:rsidP="006925F9">
      <w:pPr>
        <w:pStyle w:val="Default"/>
        <w:rPr>
          <w:sz w:val="23"/>
          <w:szCs w:val="23"/>
        </w:rPr>
      </w:pPr>
      <w:r>
        <w:rPr>
          <w:sz w:val="23"/>
          <w:szCs w:val="23"/>
        </w:rPr>
        <w:t xml:space="preserve">In particolare, il candidato deve dare prova di conoscere la legislazione primaria e secondaria riferita all’integrazione scolastica e le Linee Guida su disabilità, intercultura, disturbi specifici di apprendimento, con riguardo al seguente excursus storico-normativo: </w:t>
      </w:r>
    </w:p>
    <w:p w:rsidR="006925F9" w:rsidRDefault="006925F9" w:rsidP="006925F9">
      <w:pPr>
        <w:pStyle w:val="Default"/>
        <w:rPr>
          <w:sz w:val="23"/>
          <w:szCs w:val="23"/>
        </w:rPr>
      </w:pPr>
      <w:r>
        <w:rPr>
          <w:sz w:val="23"/>
          <w:szCs w:val="23"/>
        </w:rPr>
        <w:t xml:space="preserve">art. 3 e art. 34 Costituzione Italiana </w:t>
      </w:r>
    </w:p>
    <w:p w:rsidR="006925F9" w:rsidRDefault="006925F9" w:rsidP="006925F9">
      <w:pPr>
        <w:pStyle w:val="Default"/>
        <w:rPr>
          <w:sz w:val="23"/>
          <w:szCs w:val="23"/>
        </w:rPr>
      </w:pPr>
      <w:r>
        <w:rPr>
          <w:sz w:val="23"/>
          <w:szCs w:val="23"/>
        </w:rPr>
        <w:t xml:space="preserve">La “Relazione </w:t>
      </w:r>
      <w:proofErr w:type="spellStart"/>
      <w:r>
        <w:rPr>
          <w:sz w:val="23"/>
          <w:szCs w:val="23"/>
        </w:rPr>
        <w:t>Falcucci</w:t>
      </w:r>
      <w:proofErr w:type="spellEnd"/>
      <w:r>
        <w:rPr>
          <w:sz w:val="23"/>
          <w:szCs w:val="23"/>
        </w:rPr>
        <w:t xml:space="preserve">” e la legge 517/1977 </w:t>
      </w:r>
    </w:p>
    <w:p w:rsidR="006925F9" w:rsidRDefault="006925F9" w:rsidP="006925F9">
      <w:pPr>
        <w:pStyle w:val="Default"/>
        <w:rPr>
          <w:sz w:val="23"/>
          <w:szCs w:val="23"/>
        </w:rPr>
      </w:pPr>
      <w:r>
        <w:rPr>
          <w:sz w:val="23"/>
          <w:szCs w:val="23"/>
        </w:rPr>
        <w:t xml:space="preserve">La Legge 5 febbraio 1992, n. 104: Legge quadro per l’assistenza, l’integrazione sociale, e i diritti delle persone handicappate. </w:t>
      </w:r>
    </w:p>
    <w:p w:rsidR="006925F9" w:rsidRDefault="006925F9" w:rsidP="006925F9">
      <w:pPr>
        <w:pStyle w:val="Default"/>
        <w:rPr>
          <w:sz w:val="23"/>
          <w:szCs w:val="23"/>
        </w:rPr>
      </w:pPr>
      <w:r>
        <w:rPr>
          <w:sz w:val="23"/>
          <w:szCs w:val="23"/>
        </w:rPr>
        <w:t xml:space="preserve">Il DPR 24 febbraio 1994 : Atto di Indirizzo e coordinamento relativo ai compiti delle Unità Sanitarie in materia di alunni portatori di handicap </w:t>
      </w:r>
    </w:p>
    <w:p w:rsidR="006925F9" w:rsidRDefault="006925F9" w:rsidP="006925F9">
      <w:pPr>
        <w:pStyle w:val="Default"/>
        <w:rPr>
          <w:sz w:val="23"/>
          <w:szCs w:val="23"/>
        </w:rPr>
      </w:pPr>
      <w:r>
        <w:rPr>
          <w:sz w:val="23"/>
          <w:szCs w:val="23"/>
        </w:rPr>
        <w:t xml:space="preserve">Legge n. 328 dell’8 novembre 2000: Legge quadro per la realizzazione del sistema integrato di interventi e servizi sociali </w:t>
      </w:r>
    </w:p>
    <w:p w:rsidR="006925F9" w:rsidRDefault="006925F9" w:rsidP="006925F9">
      <w:pPr>
        <w:pStyle w:val="Default"/>
        <w:rPr>
          <w:sz w:val="23"/>
          <w:szCs w:val="23"/>
        </w:rPr>
      </w:pPr>
      <w:r>
        <w:rPr>
          <w:sz w:val="23"/>
          <w:szCs w:val="23"/>
        </w:rPr>
        <w:t xml:space="preserve">DPCM 23 febbraio 2006, n. 185: Regolamento recante modalità e criteri per l’individuazione dell’alunno come soggetto in situazione di handicap. </w:t>
      </w:r>
    </w:p>
    <w:p w:rsidR="006925F9" w:rsidRDefault="006925F9" w:rsidP="006925F9">
      <w:pPr>
        <w:pStyle w:val="Default"/>
        <w:rPr>
          <w:sz w:val="23"/>
          <w:szCs w:val="23"/>
        </w:rPr>
      </w:pPr>
      <w:r>
        <w:rPr>
          <w:sz w:val="23"/>
          <w:szCs w:val="23"/>
        </w:rPr>
        <w:t xml:space="preserve">Legge 3 marzo 2009, n. 18: Ratifica Convenzione Onu sui Diritti delle persone con disabilità </w:t>
      </w:r>
    </w:p>
    <w:p w:rsidR="006925F9" w:rsidRDefault="006925F9" w:rsidP="006925F9">
      <w:pPr>
        <w:pStyle w:val="Default"/>
        <w:rPr>
          <w:sz w:val="23"/>
          <w:szCs w:val="23"/>
        </w:rPr>
      </w:pPr>
      <w:r>
        <w:rPr>
          <w:sz w:val="23"/>
          <w:szCs w:val="23"/>
        </w:rPr>
        <w:t xml:space="preserve">Nota </w:t>
      </w:r>
      <w:proofErr w:type="spellStart"/>
      <w:r>
        <w:rPr>
          <w:sz w:val="23"/>
          <w:szCs w:val="23"/>
        </w:rPr>
        <w:t>Miur</w:t>
      </w:r>
      <w:proofErr w:type="spellEnd"/>
      <w:r>
        <w:rPr>
          <w:sz w:val="23"/>
          <w:szCs w:val="23"/>
        </w:rPr>
        <w:t xml:space="preserve"> del 4 agosto 2009: Linee Guida sull’integrazione degli alunni con disabilità </w:t>
      </w:r>
    </w:p>
    <w:p w:rsidR="006925F9" w:rsidRDefault="006925F9" w:rsidP="006925F9">
      <w:pPr>
        <w:pStyle w:val="Default"/>
        <w:rPr>
          <w:sz w:val="23"/>
          <w:szCs w:val="23"/>
        </w:rPr>
      </w:pPr>
      <w:r>
        <w:rPr>
          <w:sz w:val="23"/>
          <w:szCs w:val="23"/>
        </w:rPr>
        <w:t xml:space="preserve">Legge 8 ottobre 2010, n. 170: Norme in materia di Disturbi Specifici di Apprendimento in ambito scolastico. 123 </w:t>
      </w:r>
    </w:p>
    <w:p w:rsidR="006925F9" w:rsidRDefault="006925F9" w:rsidP="006925F9">
      <w:pPr>
        <w:pStyle w:val="Default"/>
        <w:rPr>
          <w:color w:val="auto"/>
        </w:rPr>
      </w:pPr>
    </w:p>
    <w:p w:rsidR="006925F9" w:rsidRDefault="006925F9" w:rsidP="006925F9">
      <w:pPr>
        <w:pStyle w:val="Default"/>
        <w:pageBreakBefore/>
        <w:rPr>
          <w:color w:val="auto"/>
          <w:sz w:val="23"/>
          <w:szCs w:val="23"/>
        </w:rPr>
      </w:pPr>
      <w:r>
        <w:rPr>
          <w:color w:val="auto"/>
          <w:sz w:val="23"/>
          <w:szCs w:val="23"/>
        </w:rPr>
        <w:lastRenderedPageBreak/>
        <w:t xml:space="preserve">Linee guida per il diritto allo studio degli alunni e degli studenti con Disturbi Specifici di Apprendimento allegate al decreto ministeriale n.5669 del 12 luglio 2011 </w:t>
      </w:r>
    </w:p>
    <w:p w:rsidR="006925F9" w:rsidRDefault="006925F9" w:rsidP="006925F9">
      <w:pPr>
        <w:pStyle w:val="Default"/>
        <w:rPr>
          <w:color w:val="auto"/>
          <w:sz w:val="23"/>
          <w:szCs w:val="23"/>
        </w:rPr>
      </w:pPr>
      <w:r>
        <w:rPr>
          <w:color w:val="auto"/>
          <w:sz w:val="23"/>
          <w:szCs w:val="23"/>
        </w:rPr>
        <w:t xml:space="preserve">Accordo in Conferenza Stato-Regioni sulle certificazioni di DSA (Intesa 25/07/2012) </w:t>
      </w:r>
    </w:p>
    <w:p w:rsidR="006925F9" w:rsidRDefault="006925F9" w:rsidP="006925F9">
      <w:pPr>
        <w:pStyle w:val="Default"/>
        <w:rPr>
          <w:color w:val="auto"/>
          <w:sz w:val="23"/>
          <w:szCs w:val="23"/>
        </w:rPr>
      </w:pPr>
      <w:r>
        <w:rPr>
          <w:color w:val="auto"/>
          <w:sz w:val="23"/>
          <w:szCs w:val="23"/>
        </w:rPr>
        <w:t xml:space="preserve">Direttiva </w:t>
      </w:r>
      <w:proofErr w:type="spellStart"/>
      <w:r>
        <w:rPr>
          <w:color w:val="auto"/>
          <w:sz w:val="23"/>
          <w:szCs w:val="23"/>
        </w:rPr>
        <w:t>Miur</w:t>
      </w:r>
      <w:proofErr w:type="spellEnd"/>
      <w:r>
        <w:rPr>
          <w:color w:val="auto"/>
          <w:sz w:val="23"/>
          <w:szCs w:val="23"/>
        </w:rPr>
        <w:t xml:space="preserve"> del 27 dicembre 2012: Strumenti di intervento per alunni con Bisogni Educativi Speciali e organizzazione territoriale per l’inclusione scolastica </w:t>
      </w:r>
    </w:p>
    <w:p w:rsidR="006925F9" w:rsidRDefault="006925F9" w:rsidP="006925F9">
      <w:pPr>
        <w:pStyle w:val="Default"/>
        <w:rPr>
          <w:color w:val="auto"/>
          <w:sz w:val="23"/>
          <w:szCs w:val="23"/>
        </w:rPr>
      </w:pPr>
      <w:r>
        <w:rPr>
          <w:color w:val="auto"/>
          <w:sz w:val="23"/>
          <w:szCs w:val="23"/>
        </w:rPr>
        <w:t xml:space="preserve">Circolare </w:t>
      </w:r>
      <w:proofErr w:type="spellStart"/>
      <w:r>
        <w:rPr>
          <w:color w:val="auto"/>
          <w:sz w:val="23"/>
          <w:szCs w:val="23"/>
        </w:rPr>
        <w:t>Miur</w:t>
      </w:r>
      <w:proofErr w:type="spellEnd"/>
      <w:r>
        <w:rPr>
          <w:color w:val="auto"/>
          <w:sz w:val="23"/>
          <w:szCs w:val="23"/>
        </w:rPr>
        <w:t xml:space="preserve"> n.8 del 6 marzo 2013: Indicazioni operative alunni con BES </w:t>
      </w:r>
    </w:p>
    <w:p w:rsidR="006925F9" w:rsidRDefault="006925F9" w:rsidP="006925F9">
      <w:pPr>
        <w:pStyle w:val="Default"/>
        <w:rPr>
          <w:color w:val="auto"/>
          <w:sz w:val="23"/>
          <w:szCs w:val="23"/>
        </w:rPr>
      </w:pPr>
      <w:r>
        <w:rPr>
          <w:color w:val="auto"/>
          <w:sz w:val="23"/>
          <w:szCs w:val="23"/>
        </w:rPr>
        <w:t xml:space="preserve">Nota </w:t>
      </w:r>
      <w:proofErr w:type="spellStart"/>
      <w:r>
        <w:rPr>
          <w:color w:val="auto"/>
          <w:sz w:val="23"/>
          <w:szCs w:val="23"/>
        </w:rPr>
        <w:t>prot.n.</w:t>
      </w:r>
      <w:proofErr w:type="spellEnd"/>
      <w:r>
        <w:rPr>
          <w:color w:val="auto"/>
          <w:sz w:val="23"/>
          <w:szCs w:val="23"/>
        </w:rPr>
        <w:t xml:space="preserve"> 2563 del 22 novembre 2013: Strumenti di intervento per alunni con Bisogni Educativi Speciali. Chiarimenti. </w:t>
      </w:r>
    </w:p>
    <w:p w:rsidR="006925F9" w:rsidRDefault="006925F9" w:rsidP="006925F9">
      <w:pPr>
        <w:pStyle w:val="Default"/>
        <w:rPr>
          <w:color w:val="auto"/>
          <w:sz w:val="23"/>
          <w:szCs w:val="23"/>
        </w:rPr>
      </w:pPr>
      <w:r>
        <w:rPr>
          <w:color w:val="auto"/>
          <w:sz w:val="23"/>
          <w:szCs w:val="23"/>
        </w:rPr>
        <w:t xml:space="preserve">Decreto </w:t>
      </w:r>
      <w:proofErr w:type="spellStart"/>
      <w:r>
        <w:rPr>
          <w:color w:val="auto"/>
          <w:sz w:val="23"/>
          <w:szCs w:val="23"/>
        </w:rPr>
        <w:t>Miur</w:t>
      </w:r>
      <w:proofErr w:type="spellEnd"/>
      <w:r>
        <w:rPr>
          <w:color w:val="auto"/>
          <w:sz w:val="23"/>
          <w:szCs w:val="23"/>
        </w:rPr>
        <w:t xml:space="preserve"> del 17.04.2013: Linee guida per la predisposizione dei protocolli regionali per le attività di individuazione precoce dei casi sospetti di DSA </w:t>
      </w:r>
    </w:p>
    <w:p w:rsidR="006925F9" w:rsidRDefault="006925F9" w:rsidP="006925F9">
      <w:pPr>
        <w:pStyle w:val="Default"/>
        <w:rPr>
          <w:color w:val="auto"/>
          <w:sz w:val="23"/>
          <w:szCs w:val="23"/>
        </w:rPr>
      </w:pPr>
      <w:r>
        <w:rPr>
          <w:color w:val="auto"/>
          <w:sz w:val="23"/>
          <w:szCs w:val="23"/>
        </w:rPr>
        <w:t xml:space="preserve">DPR 22 giugno 2009, n. 122: Regolamento recante coordinamento delle norme vigenti per la valutazione degli alunni </w:t>
      </w:r>
    </w:p>
    <w:p w:rsidR="006925F9" w:rsidRDefault="006925F9" w:rsidP="006925F9">
      <w:pPr>
        <w:pStyle w:val="Default"/>
        <w:rPr>
          <w:color w:val="auto"/>
          <w:sz w:val="23"/>
          <w:szCs w:val="23"/>
        </w:rPr>
      </w:pPr>
      <w:r>
        <w:rPr>
          <w:color w:val="auto"/>
          <w:sz w:val="23"/>
          <w:szCs w:val="23"/>
        </w:rPr>
        <w:t xml:space="preserve">Linee guida per l’accoglienza e l’integrazione degli alunni stranieri – febbraio 2014 </w:t>
      </w:r>
    </w:p>
    <w:p w:rsidR="006925F9" w:rsidRDefault="006925F9" w:rsidP="006925F9">
      <w:pPr>
        <w:pStyle w:val="Default"/>
        <w:rPr>
          <w:color w:val="auto"/>
          <w:sz w:val="23"/>
          <w:szCs w:val="23"/>
        </w:rPr>
      </w:pPr>
      <w:r>
        <w:rPr>
          <w:color w:val="auto"/>
          <w:sz w:val="23"/>
          <w:szCs w:val="23"/>
        </w:rPr>
        <w:t xml:space="preserve">Circolari e Ordinanze ministeriali su scrutini finali e istruzioni per lo svolgimento degli esami di Stato conclusivi del primo e del secondo ciclo di istruzione </w:t>
      </w:r>
    </w:p>
    <w:p w:rsidR="006925F9" w:rsidRDefault="006925F9" w:rsidP="006925F9">
      <w:pPr>
        <w:pStyle w:val="Default"/>
        <w:rPr>
          <w:color w:val="auto"/>
          <w:sz w:val="23"/>
          <w:szCs w:val="23"/>
        </w:rPr>
      </w:pPr>
      <w:r>
        <w:rPr>
          <w:color w:val="auto"/>
          <w:sz w:val="23"/>
          <w:szCs w:val="23"/>
        </w:rPr>
        <w:t xml:space="preserve">ICF : Classificazione Internazionale del Funzionamento, della Disabilità e della Salute, 2001 </w:t>
      </w:r>
    </w:p>
    <w:p w:rsidR="006925F9" w:rsidRDefault="006925F9" w:rsidP="006925F9">
      <w:pPr>
        <w:pStyle w:val="Default"/>
        <w:rPr>
          <w:color w:val="auto"/>
          <w:sz w:val="23"/>
          <w:szCs w:val="23"/>
        </w:rPr>
      </w:pPr>
      <w:r>
        <w:rPr>
          <w:color w:val="auto"/>
          <w:sz w:val="23"/>
          <w:szCs w:val="23"/>
        </w:rPr>
        <w:t xml:space="preserve">Linee guida per l’autismo, approvate dalla Società Italiana di Neuropsicologia dell’Infanzia e dell’Adolescenza, 2005 </w:t>
      </w:r>
    </w:p>
    <w:p w:rsidR="006925F9" w:rsidRDefault="006925F9" w:rsidP="006925F9">
      <w:pPr>
        <w:pStyle w:val="Default"/>
        <w:rPr>
          <w:color w:val="auto"/>
          <w:sz w:val="23"/>
          <w:szCs w:val="23"/>
        </w:rPr>
      </w:pPr>
      <w:r>
        <w:rPr>
          <w:color w:val="auto"/>
          <w:sz w:val="23"/>
          <w:szCs w:val="23"/>
        </w:rPr>
        <w:t xml:space="preserve">Legge 13 luglio 2015, n. 107 </w:t>
      </w:r>
    </w:p>
    <w:p w:rsidR="006925F9" w:rsidRDefault="006925F9" w:rsidP="006925F9">
      <w:pPr>
        <w:pStyle w:val="Default"/>
        <w:rPr>
          <w:color w:val="auto"/>
          <w:sz w:val="23"/>
          <w:szCs w:val="23"/>
        </w:rPr>
      </w:pPr>
      <w:r>
        <w:rPr>
          <w:color w:val="auto"/>
          <w:sz w:val="23"/>
          <w:szCs w:val="23"/>
        </w:rPr>
        <w:t>D.L.vo n.66 del 13 APRILE 2017</w:t>
      </w:r>
    </w:p>
    <w:p w:rsidR="006925F9" w:rsidRDefault="006925F9" w:rsidP="006925F9">
      <w:pPr>
        <w:pStyle w:val="Default"/>
        <w:rPr>
          <w:color w:val="auto"/>
          <w:sz w:val="23"/>
          <w:szCs w:val="23"/>
        </w:rPr>
      </w:pPr>
      <w:r>
        <w:rPr>
          <w:color w:val="auto"/>
          <w:sz w:val="23"/>
          <w:szCs w:val="23"/>
        </w:rPr>
        <w:t xml:space="preserve">AMBITO PSICOPEDAGOGICO E DIDATTICO </w:t>
      </w:r>
    </w:p>
    <w:p w:rsidR="006925F9" w:rsidRDefault="006925F9" w:rsidP="006925F9">
      <w:pPr>
        <w:pStyle w:val="Default"/>
        <w:rPr>
          <w:color w:val="auto"/>
          <w:sz w:val="23"/>
          <w:szCs w:val="23"/>
        </w:rPr>
      </w:pPr>
      <w:r>
        <w:rPr>
          <w:color w:val="auto"/>
          <w:sz w:val="23"/>
          <w:szCs w:val="23"/>
        </w:rPr>
        <w:t xml:space="preserve">Il candidato deve dimostrare padronanza degli strumenti di progettazione e di osservazione/valutazione previsti dalla normativa di riferimento, finalizzati ad una didattica inclusiva centrata sui processi dell’apprendimento. </w:t>
      </w:r>
    </w:p>
    <w:p w:rsidR="006925F9" w:rsidRDefault="006925F9" w:rsidP="006925F9">
      <w:pPr>
        <w:pStyle w:val="Default"/>
        <w:rPr>
          <w:color w:val="auto"/>
          <w:sz w:val="23"/>
          <w:szCs w:val="23"/>
        </w:rPr>
      </w:pPr>
      <w:r>
        <w:rPr>
          <w:color w:val="auto"/>
          <w:sz w:val="23"/>
          <w:szCs w:val="23"/>
        </w:rPr>
        <w:t xml:space="preserve">A tal fine, il candidato deve dare prova di possedere adeguate conoscenze di pedagogia speciale e didattica speciale, adeguata conoscenza dei fondamenti generali di psicologia dell’età evolutiva, psicologia dell’apprendimento scolastico e psicologia della preadolescenza ed adolescenza, con riferimento allo sviluppo cognitivo, affettivo e sociale e competenze </w:t>
      </w:r>
      <w:proofErr w:type="spellStart"/>
      <w:r>
        <w:rPr>
          <w:color w:val="auto"/>
          <w:sz w:val="23"/>
          <w:szCs w:val="23"/>
        </w:rPr>
        <w:t>pedagogico-didattiche</w:t>
      </w:r>
      <w:proofErr w:type="spellEnd"/>
      <w:r>
        <w:rPr>
          <w:color w:val="auto"/>
          <w:sz w:val="23"/>
          <w:szCs w:val="23"/>
        </w:rPr>
        <w:t xml:space="preserve"> che consentano di: </w:t>
      </w:r>
    </w:p>
    <w:p w:rsidR="006925F9" w:rsidRDefault="006925F9" w:rsidP="006925F9">
      <w:pPr>
        <w:pStyle w:val="Default"/>
        <w:spacing w:after="62"/>
        <w:rPr>
          <w:color w:val="auto"/>
          <w:sz w:val="22"/>
          <w:szCs w:val="22"/>
        </w:rPr>
      </w:pPr>
      <w:r>
        <w:rPr>
          <w:rFonts w:ascii="Garamond" w:hAnsi="Garamond" w:cs="Garamond"/>
          <w:color w:val="auto"/>
          <w:sz w:val="22"/>
          <w:szCs w:val="22"/>
        </w:rPr>
        <w:t xml:space="preserve">- </w:t>
      </w:r>
      <w:r>
        <w:rPr>
          <w:color w:val="auto"/>
          <w:sz w:val="22"/>
          <w:szCs w:val="22"/>
        </w:rPr>
        <w:t xml:space="preserve">progettare e realizzare approcci didattici e forme efficaci di individualizzazione e di personalizzazione dei percorsi formativi in classi eterogenee per una gestione integrata del gruppo </w:t>
      </w:r>
    </w:p>
    <w:p w:rsidR="006925F9" w:rsidRDefault="006925F9" w:rsidP="006925F9">
      <w:pPr>
        <w:pStyle w:val="Default"/>
        <w:spacing w:after="62"/>
        <w:rPr>
          <w:color w:val="auto"/>
          <w:sz w:val="22"/>
          <w:szCs w:val="22"/>
        </w:rPr>
      </w:pPr>
      <w:r>
        <w:rPr>
          <w:rFonts w:ascii="Garamond" w:hAnsi="Garamond" w:cs="Garamond"/>
          <w:color w:val="auto"/>
          <w:sz w:val="22"/>
          <w:szCs w:val="22"/>
        </w:rPr>
        <w:t xml:space="preserve">- </w:t>
      </w:r>
      <w:r>
        <w:rPr>
          <w:color w:val="auto"/>
          <w:sz w:val="22"/>
          <w:szCs w:val="22"/>
        </w:rPr>
        <w:t xml:space="preserve">utilizzare strumenti di osservazione e di valutazione degli apprendimenti e dei comportamenti </w:t>
      </w:r>
    </w:p>
    <w:p w:rsidR="006925F9" w:rsidRDefault="006925F9" w:rsidP="006925F9">
      <w:pPr>
        <w:pStyle w:val="Default"/>
        <w:spacing w:after="62"/>
        <w:rPr>
          <w:color w:val="auto"/>
          <w:sz w:val="22"/>
          <w:szCs w:val="22"/>
        </w:rPr>
      </w:pPr>
      <w:r>
        <w:rPr>
          <w:rFonts w:ascii="Garamond" w:hAnsi="Garamond" w:cs="Garamond"/>
          <w:color w:val="auto"/>
          <w:sz w:val="22"/>
          <w:szCs w:val="22"/>
        </w:rPr>
        <w:t xml:space="preserve">- </w:t>
      </w:r>
      <w:r>
        <w:rPr>
          <w:color w:val="auto"/>
          <w:sz w:val="22"/>
          <w:szCs w:val="22"/>
        </w:rPr>
        <w:t xml:space="preserve">attuare modalità di interazione e di relazione educativa con gli alunni ai fini della promozione di comportamenti di </w:t>
      </w:r>
      <w:proofErr w:type="spellStart"/>
      <w:r>
        <w:rPr>
          <w:color w:val="auto"/>
          <w:sz w:val="22"/>
          <w:szCs w:val="22"/>
        </w:rPr>
        <w:t>prosocialità</w:t>
      </w:r>
      <w:proofErr w:type="spellEnd"/>
      <w:r>
        <w:rPr>
          <w:color w:val="auto"/>
          <w:sz w:val="22"/>
          <w:szCs w:val="22"/>
        </w:rPr>
        <w:t xml:space="preserve"> tra pari e tra membri di una comunità, conoscere i contenuti delle discipline di insegnamento e dei loro fondamenti epistemologici essenziali, promuovere processi cognitivi relativi ai nuclei essenziali delle discipline, così come delineati dalle Indicazioni nazionali per le scuole dell’infanzia e del primo ciclo di istruzione, dalle Indicazioni nazionali per i Licei e dalle Linee guida per gli istituti tecnici e professionali, utilizzare le nuove tecnologie per la promozione degli apprendimenti, utilizzare modalità efficaci di coinvolgimento delle famiglie per la costruzione di percorsi educativi condivisi, </w:t>
      </w:r>
    </w:p>
    <w:p w:rsidR="006925F9" w:rsidRDefault="006925F9" w:rsidP="006925F9">
      <w:pPr>
        <w:pStyle w:val="Default"/>
        <w:spacing w:after="62"/>
        <w:rPr>
          <w:color w:val="auto"/>
          <w:sz w:val="22"/>
          <w:szCs w:val="22"/>
        </w:rPr>
      </w:pPr>
      <w:r>
        <w:rPr>
          <w:rFonts w:ascii="Garamond" w:hAnsi="Garamond" w:cs="Garamond"/>
          <w:color w:val="auto"/>
          <w:sz w:val="22"/>
          <w:szCs w:val="22"/>
        </w:rPr>
        <w:t xml:space="preserve">- </w:t>
      </w:r>
      <w:r>
        <w:rPr>
          <w:color w:val="auto"/>
          <w:sz w:val="22"/>
          <w:szCs w:val="22"/>
        </w:rPr>
        <w:t xml:space="preserve">utilizzare strumenti di osservazione ed esperienze di mediazione per la promozione dei processi di interazione comunicativa con gli alunni disabili, progettare percorsi di apprendimento finalizzati all’acquisizione di competenze, utilizzare strumenti compensativi e attivare misure </w:t>
      </w:r>
      <w:proofErr w:type="spellStart"/>
      <w:r>
        <w:rPr>
          <w:color w:val="auto"/>
          <w:sz w:val="22"/>
          <w:szCs w:val="22"/>
        </w:rPr>
        <w:t>dispensative</w:t>
      </w:r>
      <w:proofErr w:type="spellEnd"/>
      <w:r>
        <w:rPr>
          <w:color w:val="auto"/>
          <w:sz w:val="22"/>
          <w:szCs w:val="22"/>
        </w:rPr>
        <w:t xml:space="preserve"> a sostegno della mediazione didattica, osservare, valutare e certificare competenze anche al fine di facilitare i momenti di passaggio tra i diversi ordini di scuola. </w:t>
      </w:r>
    </w:p>
    <w:p w:rsidR="006925F9" w:rsidRDefault="006925F9" w:rsidP="006925F9">
      <w:pPr>
        <w:pStyle w:val="Default"/>
        <w:spacing w:after="62"/>
        <w:rPr>
          <w:color w:val="auto"/>
          <w:sz w:val="22"/>
          <w:szCs w:val="22"/>
        </w:rPr>
      </w:pPr>
      <w:r>
        <w:rPr>
          <w:rFonts w:ascii="Garamond" w:hAnsi="Garamond" w:cs="Garamond"/>
          <w:color w:val="auto"/>
          <w:sz w:val="22"/>
          <w:szCs w:val="22"/>
        </w:rPr>
        <w:t xml:space="preserve">- </w:t>
      </w:r>
      <w:r>
        <w:rPr>
          <w:color w:val="auto"/>
          <w:sz w:val="22"/>
          <w:szCs w:val="22"/>
        </w:rPr>
        <w:t xml:space="preserve">Conoscere ed utilizzare strumenti per l’individuazione di situazioni di rischio </w:t>
      </w:r>
    </w:p>
    <w:p w:rsidR="006925F9" w:rsidRDefault="006925F9" w:rsidP="006925F9">
      <w:pPr>
        <w:pStyle w:val="Default"/>
        <w:rPr>
          <w:color w:val="auto"/>
          <w:sz w:val="22"/>
          <w:szCs w:val="22"/>
        </w:rPr>
      </w:pPr>
      <w:r>
        <w:rPr>
          <w:rFonts w:ascii="Garamond" w:hAnsi="Garamond" w:cs="Garamond"/>
          <w:color w:val="auto"/>
          <w:sz w:val="22"/>
          <w:szCs w:val="22"/>
        </w:rPr>
        <w:t xml:space="preserve">- </w:t>
      </w:r>
      <w:r>
        <w:rPr>
          <w:color w:val="auto"/>
          <w:sz w:val="22"/>
          <w:szCs w:val="22"/>
        </w:rPr>
        <w:t xml:space="preserve">Attivare positive relazioni scuola-famiglia anche per la definizione del patto di corresponsabilità educativa. </w:t>
      </w:r>
    </w:p>
    <w:p w:rsidR="006925F9" w:rsidRDefault="006925F9" w:rsidP="006925F9">
      <w:pPr>
        <w:pStyle w:val="Default"/>
        <w:rPr>
          <w:color w:val="auto"/>
          <w:sz w:val="22"/>
          <w:szCs w:val="22"/>
        </w:rPr>
      </w:pPr>
      <w:r>
        <w:rPr>
          <w:color w:val="auto"/>
          <w:sz w:val="22"/>
          <w:szCs w:val="22"/>
        </w:rPr>
        <w:t xml:space="preserve">124 </w:t>
      </w:r>
    </w:p>
    <w:p w:rsidR="006925F9" w:rsidRDefault="006925F9" w:rsidP="006925F9">
      <w:pPr>
        <w:pStyle w:val="Default"/>
        <w:rPr>
          <w:color w:val="auto"/>
        </w:rPr>
      </w:pPr>
    </w:p>
    <w:p w:rsidR="006925F9" w:rsidRDefault="006925F9" w:rsidP="006925F9">
      <w:pPr>
        <w:pStyle w:val="Default"/>
        <w:pageBreakBefore/>
        <w:rPr>
          <w:color w:val="auto"/>
          <w:sz w:val="23"/>
          <w:szCs w:val="23"/>
        </w:rPr>
      </w:pPr>
      <w:r>
        <w:rPr>
          <w:color w:val="auto"/>
          <w:sz w:val="23"/>
          <w:szCs w:val="23"/>
        </w:rPr>
        <w:lastRenderedPageBreak/>
        <w:t xml:space="preserve">AMBITO DELLA CONOSCENZA DELLE DISABILITA’ E DEGLI ALTRI BISOGNI EDUCATIVI SPECIALI IN UNA LOGICA BIO-PSICO-SOCIALE </w:t>
      </w:r>
    </w:p>
    <w:p w:rsidR="006925F9" w:rsidRDefault="006925F9" w:rsidP="006925F9">
      <w:pPr>
        <w:pStyle w:val="Default"/>
        <w:rPr>
          <w:color w:val="auto"/>
          <w:sz w:val="23"/>
          <w:szCs w:val="23"/>
        </w:rPr>
      </w:pPr>
      <w:r>
        <w:rPr>
          <w:color w:val="auto"/>
          <w:sz w:val="23"/>
          <w:szCs w:val="23"/>
        </w:rPr>
        <w:t xml:space="preserve">Il candidato deve dimostrare di saper lavorare in ambienti scolastici inclusivi, tenendo conto di tutte le forme di diversità. </w:t>
      </w:r>
    </w:p>
    <w:p w:rsidR="006925F9" w:rsidRDefault="006925F9" w:rsidP="006925F9">
      <w:pPr>
        <w:pStyle w:val="Default"/>
        <w:rPr>
          <w:color w:val="auto"/>
          <w:sz w:val="23"/>
          <w:szCs w:val="23"/>
        </w:rPr>
      </w:pPr>
      <w:r>
        <w:rPr>
          <w:color w:val="auto"/>
          <w:sz w:val="23"/>
          <w:szCs w:val="23"/>
        </w:rPr>
        <w:t xml:space="preserve">A tal fine, deve dar prova di conoscere le diverse tipologie di disabilità e di saper utilizzare le didattiche speciali per le disabilità sensoriali, intellettive e della comunicazione in modo da: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conoscere il modello ICF dell’OMS (versione ICF </w:t>
      </w:r>
      <w:proofErr w:type="spellStart"/>
      <w:r>
        <w:rPr>
          <w:color w:val="auto"/>
          <w:sz w:val="22"/>
          <w:szCs w:val="22"/>
        </w:rPr>
        <w:t>Children</w:t>
      </w:r>
      <w:proofErr w:type="spellEnd"/>
      <w:r>
        <w:rPr>
          <w:color w:val="auto"/>
          <w:sz w:val="22"/>
          <w:szCs w:val="22"/>
        </w:rPr>
        <w:t xml:space="preserve"> and </w:t>
      </w:r>
      <w:proofErr w:type="spellStart"/>
      <w:r>
        <w:rPr>
          <w:color w:val="auto"/>
          <w:sz w:val="22"/>
          <w:szCs w:val="22"/>
        </w:rPr>
        <w:t>Youth</w:t>
      </w:r>
      <w:proofErr w:type="spellEnd"/>
      <w:r>
        <w:rPr>
          <w:color w:val="auto"/>
          <w:sz w:val="22"/>
          <w:szCs w:val="22"/>
        </w:rPr>
        <w:t xml:space="preserve"> </w:t>
      </w:r>
      <w:proofErr w:type="spellStart"/>
      <w:r>
        <w:rPr>
          <w:color w:val="auto"/>
          <w:sz w:val="22"/>
          <w:szCs w:val="22"/>
        </w:rPr>
        <w:t>Version</w:t>
      </w:r>
      <w:proofErr w:type="spellEnd"/>
      <w:r>
        <w:rPr>
          <w:color w:val="auto"/>
          <w:sz w:val="22"/>
          <w:szCs w:val="22"/>
        </w:rPr>
        <w:t xml:space="preserve">)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osservare e valutare il funzionamento umano secondo l’approccio ICF dell’OMS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compilare e attuare i Piani educativi individualizzati e i Piani didattici personalizzati attraverso l’uso dell’ICF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costruire il Profilo Dinamico Funzionale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attuare interventi </w:t>
      </w:r>
      <w:proofErr w:type="spellStart"/>
      <w:r>
        <w:rPr>
          <w:color w:val="auto"/>
          <w:sz w:val="22"/>
          <w:szCs w:val="22"/>
        </w:rPr>
        <w:t>psico-educativi</w:t>
      </w:r>
      <w:proofErr w:type="spellEnd"/>
      <w:r>
        <w:rPr>
          <w:color w:val="auto"/>
          <w:sz w:val="22"/>
          <w:szCs w:val="22"/>
        </w:rPr>
        <w:t xml:space="preserve"> nei disturbi relazionali, comportamentali e della comunicazione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conoscere i codici comunicativi dell’educazione linguistica e del linguaggio logico e matematico al fine di utilizzare strategie di intervento </w:t>
      </w:r>
      <w:proofErr w:type="spellStart"/>
      <w:r>
        <w:rPr>
          <w:color w:val="auto"/>
          <w:sz w:val="22"/>
          <w:szCs w:val="22"/>
        </w:rPr>
        <w:t>metacognitivo</w:t>
      </w:r>
      <w:proofErr w:type="spellEnd"/>
      <w:r>
        <w:rPr>
          <w:color w:val="auto"/>
          <w:sz w:val="22"/>
          <w:szCs w:val="22"/>
        </w:rPr>
        <w:t xml:space="preserve"> nelle difficoltà di apprendimento (lettura, </w:t>
      </w:r>
      <w:proofErr w:type="spellStart"/>
      <w:r>
        <w:rPr>
          <w:color w:val="auto"/>
          <w:sz w:val="22"/>
          <w:szCs w:val="22"/>
        </w:rPr>
        <w:t>problem</w:t>
      </w:r>
      <w:proofErr w:type="spellEnd"/>
      <w:r>
        <w:rPr>
          <w:color w:val="auto"/>
          <w:sz w:val="22"/>
          <w:szCs w:val="22"/>
        </w:rPr>
        <w:t xml:space="preserve"> </w:t>
      </w:r>
      <w:proofErr w:type="spellStart"/>
      <w:r>
        <w:rPr>
          <w:color w:val="auto"/>
          <w:sz w:val="22"/>
          <w:szCs w:val="22"/>
        </w:rPr>
        <w:t>solving</w:t>
      </w:r>
      <w:proofErr w:type="spellEnd"/>
      <w:r>
        <w:rPr>
          <w:color w:val="auto"/>
          <w:sz w:val="22"/>
          <w:szCs w:val="22"/>
        </w:rPr>
        <w:t xml:space="preserve">, matematica, memoria, abilità di studio)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conoscere le interazioni tra componenti emotive, motivazionali e </w:t>
      </w:r>
      <w:proofErr w:type="spellStart"/>
      <w:r>
        <w:rPr>
          <w:color w:val="auto"/>
          <w:sz w:val="22"/>
          <w:szCs w:val="22"/>
        </w:rPr>
        <w:t>metacognitive</w:t>
      </w:r>
      <w:proofErr w:type="spellEnd"/>
      <w:r>
        <w:rPr>
          <w:color w:val="auto"/>
          <w:sz w:val="22"/>
          <w:szCs w:val="22"/>
        </w:rPr>
        <w:t xml:space="preserve"> nell’apprendimento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Attuare interventi organizzativi finalizzati alla partecipazione degli alunni disabili all’Esame di Stato conclusivo del primo e del secondo ciclo di istruzione (prove differenziate o equipollenti) </w:t>
      </w:r>
    </w:p>
    <w:p w:rsidR="006925F9" w:rsidRDefault="006925F9" w:rsidP="006925F9">
      <w:pPr>
        <w:pStyle w:val="Default"/>
        <w:spacing w:after="51"/>
        <w:rPr>
          <w:color w:val="auto"/>
          <w:sz w:val="22"/>
          <w:szCs w:val="22"/>
        </w:rPr>
      </w:pPr>
      <w:r>
        <w:rPr>
          <w:rFonts w:ascii="Garamond" w:hAnsi="Garamond" w:cs="Garamond"/>
          <w:color w:val="auto"/>
          <w:sz w:val="22"/>
          <w:szCs w:val="22"/>
        </w:rPr>
        <w:t xml:space="preserve">- </w:t>
      </w:r>
      <w:r>
        <w:rPr>
          <w:color w:val="auto"/>
          <w:sz w:val="22"/>
          <w:szCs w:val="22"/>
        </w:rPr>
        <w:t xml:space="preserve">favorire la partecipazione degli alunni con disabilità alle rilevazioni degli apprendimenti predisposte dall’INVALSI </w:t>
      </w:r>
    </w:p>
    <w:p w:rsidR="006925F9" w:rsidRDefault="006925F9" w:rsidP="006925F9">
      <w:pPr>
        <w:pStyle w:val="Default"/>
        <w:rPr>
          <w:color w:val="auto"/>
          <w:sz w:val="22"/>
          <w:szCs w:val="22"/>
        </w:rPr>
      </w:pPr>
      <w:r>
        <w:rPr>
          <w:rFonts w:ascii="Garamond" w:hAnsi="Garamond" w:cs="Garamond"/>
          <w:color w:val="auto"/>
          <w:sz w:val="22"/>
          <w:szCs w:val="22"/>
        </w:rPr>
        <w:t xml:space="preserve">- </w:t>
      </w:r>
      <w:r>
        <w:rPr>
          <w:color w:val="auto"/>
          <w:sz w:val="22"/>
          <w:szCs w:val="22"/>
        </w:rPr>
        <w:t xml:space="preserve">progettare interventi scolastici orientati alla vita adulta </w:t>
      </w:r>
    </w:p>
    <w:p w:rsidR="006925F9" w:rsidRDefault="006925F9" w:rsidP="006925F9">
      <w:pPr>
        <w:pStyle w:val="Default"/>
        <w:rPr>
          <w:color w:val="auto"/>
          <w:sz w:val="22"/>
          <w:szCs w:val="22"/>
        </w:rPr>
      </w:pPr>
    </w:p>
    <w:p w:rsidR="006925F9" w:rsidRDefault="006925F9" w:rsidP="006925F9">
      <w:pPr>
        <w:pStyle w:val="Default"/>
        <w:rPr>
          <w:color w:val="auto"/>
          <w:sz w:val="23"/>
          <w:szCs w:val="23"/>
        </w:rPr>
      </w:pPr>
      <w:r>
        <w:rPr>
          <w:color w:val="auto"/>
          <w:sz w:val="23"/>
          <w:szCs w:val="23"/>
        </w:rPr>
        <w:t xml:space="preserve">AMBITO ORGANIZZATIVO E DELLA GOVERNANCE </w:t>
      </w:r>
    </w:p>
    <w:p w:rsidR="006925F9" w:rsidRDefault="006925F9" w:rsidP="006925F9">
      <w:pPr>
        <w:pStyle w:val="Default"/>
        <w:rPr>
          <w:color w:val="auto"/>
          <w:sz w:val="23"/>
          <w:szCs w:val="23"/>
        </w:rPr>
      </w:pPr>
      <w:r>
        <w:rPr>
          <w:color w:val="auto"/>
          <w:sz w:val="23"/>
          <w:szCs w:val="23"/>
        </w:rPr>
        <w:t xml:space="preserve">Al fine di realizzare la </w:t>
      </w:r>
      <w:proofErr w:type="spellStart"/>
      <w:r>
        <w:rPr>
          <w:color w:val="auto"/>
          <w:sz w:val="23"/>
          <w:szCs w:val="23"/>
        </w:rPr>
        <w:t>governance</w:t>
      </w:r>
      <w:proofErr w:type="spellEnd"/>
      <w:r>
        <w:rPr>
          <w:color w:val="auto"/>
          <w:sz w:val="23"/>
          <w:szCs w:val="23"/>
        </w:rPr>
        <w:t xml:space="preserve"> dell’integrazione, il candidato deve possedere le seguenti competenze organizzative e relazionali: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promozione di una cultura inclusiva che, a partire dall’ICF, valorizzi le diversità delle persone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organizzazione di procedure finalizzate all’inclusione delle diversità nella classe e nel sistema scuola: accoglienza, integrazione, individuazione dei bisogni educativi speciali, attivazione di modalità organizzative in grado di rispondere alle esigenze di personalizzazione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costruzione di un curricolo inclusivo di istituto finalizzato all’individuazione degli elementi di essenzialità accessibili a tutti gli alunni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capacità di lavorare in gruppo con gli operatori della scuola e con le famiglie, con altri professionisti e con gli operatori dei servizi sociali e sanitari per la costruzione di partnership e alleanze e la progettazione di percorsi o di piani personalizzati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elaborazione del Piano annuale di </w:t>
      </w:r>
      <w:proofErr w:type="spellStart"/>
      <w:r>
        <w:rPr>
          <w:color w:val="auto"/>
          <w:sz w:val="22"/>
          <w:szCs w:val="22"/>
        </w:rPr>
        <w:t>inclusività</w:t>
      </w:r>
      <w:proofErr w:type="spellEnd"/>
      <w:r>
        <w:rPr>
          <w:color w:val="auto"/>
          <w:sz w:val="22"/>
          <w:szCs w:val="22"/>
        </w:rPr>
        <w:t xml:space="preserve">: modalità di raccolta dati e monitoraggio dei percorsi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individuazione e utilizzo di indicatori per valutare la qualità dell’integrazione e la dimensione inclusiva dell’istituto scolastico ai fini dell’elaborazione del Rapporto di autovalutazione e dei successivi piani di miglioramento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Interazione con il territorio per la costruzione di reti educative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organizzazione e gestione di percorsi di alternanza scuola–lavoro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attivazione dell’opportuna flessibilità organizzativa in funzione dell’età degli alunni e della specifica disabilità (laboratori, classi aperte, attività di compresenza, utilizzo di esperti)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attuazione di accordi di programma tra istituzioni e tavoli di lavoro interistituzionali </w:t>
      </w:r>
    </w:p>
    <w:p w:rsidR="006925F9" w:rsidRDefault="006925F9" w:rsidP="006925F9">
      <w:pPr>
        <w:pStyle w:val="Default"/>
        <w:spacing w:after="49"/>
        <w:rPr>
          <w:color w:val="auto"/>
          <w:sz w:val="22"/>
          <w:szCs w:val="22"/>
        </w:rPr>
      </w:pPr>
      <w:r>
        <w:rPr>
          <w:rFonts w:ascii="Garamond" w:hAnsi="Garamond" w:cs="Garamond"/>
          <w:color w:val="auto"/>
          <w:sz w:val="22"/>
          <w:szCs w:val="22"/>
        </w:rPr>
        <w:t xml:space="preserve">- </w:t>
      </w:r>
      <w:r>
        <w:rPr>
          <w:color w:val="auto"/>
          <w:sz w:val="22"/>
          <w:szCs w:val="22"/>
        </w:rPr>
        <w:t xml:space="preserve">predisposizione ed attuazione di protocolli operativi per la gestione dei servizi a favore degli alunni con disabilità </w:t>
      </w:r>
    </w:p>
    <w:p w:rsidR="006925F9" w:rsidRDefault="006925F9" w:rsidP="006925F9">
      <w:pPr>
        <w:pStyle w:val="Default"/>
        <w:rPr>
          <w:color w:val="auto"/>
          <w:sz w:val="22"/>
          <w:szCs w:val="22"/>
        </w:rPr>
      </w:pPr>
      <w:r>
        <w:rPr>
          <w:rFonts w:ascii="Garamond" w:hAnsi="Garamond" w:cs="Garamond"/>
          <w:color w:val="auto"/>
          <w:sz w:val="22"/>
          <w:szCs w:val="22"/>
        </w:rPr>
        <w:t xml:space="preserve">- </w:t>
      </w:r>
      <w:r>
        <w:rPr>
          <w:color w:val="auto"/>
          <w:sz w:val="22"/>
          <w:szCs w:val="22"/>
        </w:rPr>
        <w:t xml:space="preserve">conoscenza dei contesti informali di apprendimento e dell’associazionismo </w:t>
      </w:r>
    </w:p>
    <w:p w:rsidR="006925F9" w:rsidRDefault="006925F9" w:rsidP="006925F9">
      <w:pPr>
        <w:pStyle w:val="Default"/>
        <w:rPr>
          <w:color w:val="auto"/>
          <w:sz w:val="22"/>
          <w:szCs w:val="22"/>
        </w:rPr>
      </w:pPr>
      <w:r>
        <w:rPr>
          <w:color w:val="auto"/>
          <w:sz w:val="22"/>
          <w:szCs w:val="22"/>
        </w:rPr>
        <w:t xml:space="preserve">125 </w:t>
      </w:r>
    </w:p>
    <w:p w:rsidR="006925F9" w:rsidRDefault="006925F9" w:rsidP="006925F9">
      <w:pPr>
        <w:pStyle w:val="Default"/>
        <w:rPr>
          <w:color w:val="auto"/>
        </w:rPr>
      </w:pPr>
    </w:p>
    <w:p w:rsidR="006925F9" w:rsidRDefault="006925F9" w:rsidP="006925F9">
      <w:pPr>
        <w:pStyle w:val="Default"/>
        <w:pageBreakBefore/>
        <w:rPr>
          <w:color w:val="auto"/>
        </w:rPr>
      </w:pPr>
    </w:p>
    <w:p w:rsidR="006925F9" w:rsidRDefault="006925F9" w:rsidP="006925F9">
      <w:pPr>
        <w:pStyle w:val="Default"/>
        <w:rPr>
          <w:color w:val="auto"/>
          <w:sz w:val="22"/>
          <w:szCs w:val="22"/>
        </w:rPr>
      </w:pPr>
      <w:r>
        <w:rPr>
          <w:rFonts w:ascii="Garamond" w:hAnsi="Garamond" w:cs="Garamond"/>
          <w:color w:val="auto"/>
          <w:sz w:val="22"/>
          <w:szCs w:val="22"/>
        </w:rPr>
        <w:t xml:space="preserve">- </w:t>
      </w:r>
      <w:r>
        <w:rPr>
          <w:color w:val="auto"/>
          <w:sz w:val="22"/>
          <w:szCs w:val="22"/>
        </w:rPr>
        <w:t xml:space="preserve">conoscenza del ruolo e delle funzioni dei CTI (Centri Territoriali di Inclusione), dei CTS (Centri Territoriali di supporto) e dei Gruppi di lavoro regionali </w:t>
      </w:r>
    </w:p>
    <w:p w:rsidR="006925F9" w:rsidRDefault="006925F9" w:rsidP="006925F9">
      <w:pPr>
        <w:pStyle w:val="Default"/>
        <w:rPr>
          <w:color w:val="auto"/>
          <w:sz w:val="22"/>
          <w:szCs w:val="22"/>
        </w:rPr>
      </w:pPr>
    </w:p>
    <w:p w:rsidR="00BF6C1A" w:rsidRDefault="006925F9" w:rsidP="006925F9">
      <w:r>
        <w:rPr>
          <w:sz w:val="23"/>
          <w:szCs w:val="23"/>
        </w:rPr>
        <w:t>e dei gruppi di cui si prende cura</w:t>
      </w:r>
    </w:p>
    <w:sectPr w:rsidR="00BF6C1A" w:rsidSect="00BF6C1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283"/>
  <w:characterSpacingControl w:val="doNotCompress"/>
  <w:compat/>
  <w:rsids>
    <w:rsidRoot w:val="006925F9"/>
    <w:rsid w:val="006925F9"/>
    <w:rsid w:val="00BF6C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6C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925F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1540</Words>
  <Characters>8778</Characters>
  <Application>Microsoft Office Word</Application>
  <DocSecurity>0</DocSecurity>
  <Lines>73</Lines>
  <Paragraphs>20</Paragraphs>
  <ScaleCrop>false</ScaleCrop>
  <Company>Hewlett-Packard</Company>
  <LinksUpToDate>false</LinksUpToDate>
  <CharactersWithSpaces>10298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SABATO GIUSEPPE</dc:creator>
  <cp:lastModifiedBy>DE SABATO GIUSEPPE</cp:lastModifiedBy>
  <cp:revision>1</cp:revision>
  <dcterms:created xsi:type="dcterms:W3CDTF">2018-01-09T08:36:00Z</dcterms:created>
  <dcterms:modified xsi:type="dcterms:W3CDTF">2018-01-09T08:42:00Z</dcterms:modified>
</cp:coreProperties>
</file>